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94156" w14:textId="14F0EB83" w:rsidR="005208AE" w:rsidRDefault="005208AE" w:rsidP="005208AE">
      <w:pPr>
        <w:widowControl w:val="0"/>
        <w:autoSpaceDE w:val="0"/>
        <w:autoSpaceDN w:val="0"/>
        <w:adjustRightInd w:val="0"/>
        <w:spacing w:after="0" w:line="360" w:lineRule="auto"/>
        <w:jc w:val="center"/>
        <w:rPr>
          <w:rFonts w:ascii="Times New Roman" w:eastAsiaTheme="minorEastAsia" w:hAnsi="Times New Roman" w:cs="Times New Roman"/>
          <w:b/>
          <w:bCs/>
          <w:sz w:val="24"/>
          <w:szCs w:val="24"/>
          <w:u w:val="single"/>
        </w:rPr>
      </w:pPr>
      <w:bookmarkStart w:id="0" w:name="_GoBack"/>
      <w:bookmarkEnd w:id="0"/>
      <w:r>
        <w:rPr>
          <w:rFonts w:ascii="Times New Roman" w:eastAsiaTheme="minorEastAsia" w:hAnsi="Times New Roman" w:cs="Times New Roman"/>
          <w:b/>
          <w:bCs/>
          <w:sz w:val="24"/>
          <w:szCs w:val="24"/>
          <w:u w:val="single"/>
        </w:rPr>
        <w:t xml:space="preserve">NOTICE OF A HEARING ON </w:t>
      </w:r>
    </w:p>
    <w:p w14:paraId="08B5E7F6" w14:textId="6E233446" w:rsidR="005208AE" w:rsidRDefault="005208AE" w:rsidP="005208AE">
      <w:pPr>
        <w:widowControl w:val="0"/>
        <w:autoSpaceDE w:val="0"/>
        <w:autoSpaceDN w:val="0"/>
        <w:adjustRightInd w:val="0"/>
        <w:spacing w:after="0" w:line="360" w:lineRule="auto"/>
        <w:jc w:val="center"/>
        <w:rPr>
          <w:rFonts w:ascii="Times New Roman" w:eastAsiaTheme="minorEastAsia" w:hAnsi="Times New Roman" w:cs="Times New Roman"/>
          <w:b/>
          <w:bCs/>
          <w:sz w:val="24"/>
          <w:szCs w:val="24"/>
          <w:u w:val="single"/>
        </w:rPr>
      </w:pPr>
      <w:r>
        <w:rPr>
          <w:rFonts w:ascii="Times New Roman" w:eastAsiaTheme="minorEastAsia" w:hAnsi="Times New Roman" w:cs="Times New Roman"/>
          <w:b/>
          <w:bCs/>
          <w:sz w:val="24"/>
          <w:szCs w:val="24"/>
          <w:u w:val="single"/>
        </w:rPr>
        <w:t>PROPOSED RATES AND CHANGES</w:t>
      </w:r>
    </w:p>
    <w:p w14:paraId="674A99EB" w14:textId="174827DC" w:rsidR="005208AE" w:rsidRDefault="005208AE" w:rsidP="005208AE">
      <w:pPr>
        <w:widowControl w:val="0"/>
        <w:autoSpaceDE w:val="0"/>
        <w:autoSpaceDN w:val="0"/>
        <w:adjustRightInd w:val="0"/>
        <w:spacing w:after="0" w:line="240" w:lineRule="auto"/>
        <w:rPr>
          <w:rFonts w:ascii="Times New Roman" w:eastAsiaTheme="minorEastAsia" w:hAnsi="Times New Roman" w:cs="Times New Roman"/>
          <w:b/>
          <w:bCs/>
          <w:sz w:val="24"/>
          <w:szCs w:val="24"/>
          <w:u w:val="single"/>
        </w:rPr>
      </w:pPr>
    </w:p>
    <w:p w14:paraId="6789B898" w14:textId="49CCF2B4" w:rsidR="005208AE" w:rsidRDefault="005208AE" w:rsidP="005208AE">
      <w:pPr>
        <w:widowControl w:val="0"/>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Property owners, ratepayers and other interested parties in or served or to be served by the waterworks of the City of Decatur are hereby notified that Ordinance No. 2024-13, amending the rates and charges of the waterworks, was introduced at a meeting of the Common Council held on October 1, 2024.  At a meeting of the Common Council to be held at 7:00 p.m. on October 15, 2024, in the Decatur City Hall at 172 N. Second Street, De</w:t>
      </w:r>
      <w:r w:rsidR="00F158A0">
        <w:rPr>
          <w:rFonts w:ascii="Times New Roman" w:eastAsiaTheme="minorEastAsia" w:hAnsi="Times New Roman" w:cs="Times New Roman"/>
          <w:sz w:val="24"/>
          <w:szCs w:val="24"/>
        </w:rPr>
        <w:t>c</w:t>
      </w:r>
      <w:r>
        <w:rPr>
          <w:rFonts w:ascii="Times New Roman" w:eastAsiaTheme="minorEastAsia" w:hAnsi="Times New Roman" w:cs="Times New Roman"/>
          <w:sz w:val="24"/>
          <w:szCs w:val="24"/>
        </w:rPr>
        <w:t>atur, Indiana 46733, there will be a public hearing on the matter of the rates and charges and consideration of adoption of Ordinance 2024-13 which provides in part:</w:t>
      </w:r>
    </w:p>
    <w:p w14:paraId="49FEABE2" w14:textId="77777777" w:rsidR="005208AE" w:rsidRDefault="005208AE" w:rsidP="005208AE">
      <w:pPr>
        <w:widowControl w:val="0"/>
        <w:autoSpaceDE w:val="0"/>
        <w:autoSpaceDN w:val="0"/>
        <w:adjustRightInd w:val="0"/>
        <w:spacing w:after="0" w:line="240" w:lineRule="auto"/>
        <w:rPr>
          <w:rFonts w:ascii="Times New Roman" w:eastAsiaTheme="minorEastAsia" w:hAnsi="Times New Roman" w:cs="Times New Roman"/>
          <w:sz w:val="24"/>
          <w:szCs w:val="24"/>
        </w:rPr>
      </w:pPr>
    </w:p>
    <w:p w14:paraId="1AF43F55" w14:textId="1CB1DA09" w:rsidR="005208AE" w:rsidRDefault="005208AE" w:rsidP="005208AE">
      <w:pPr>
        <w:widowControl w:val="0"/>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Phase I increase effective </w:t>
      </w:r>
      <w:r w:rsidR="007C2D75">
        <w:rPr>
          <w:rFonts w:ascii="Times New Roman" w:eastAsiaTheme="minorEastAsia" w:hAnsi="Times New Roman" w:cs="Times New Roman"/>
          <w:sz w:val="24"/>
          <w:szCs w:val="24"/>
        </w:rPr>
        <w:t>immediately upon passage</w:t>
      </w:r>
      <w:r w:rsidR="00D2228B">
        <w:rPr>
          <w:rFonts w:ascii="Times New Roman" w:eastAsiaTheme="minorEastAsia" w:hAnsi="Times New Roman" w:cs="Times New Roman"/>
          <w:sz w:val="24"/>
          <w:szCs w:val="24"/>
        </w:rPr>
        <w:t xml:space="preserve"> of Ordinance No 2024-13</w:t>
      </w:r>
    </w:p>
    <w:p w14:paraId="25276DCC" w14:textId="6F6DAC34" w:rsidR="005208AE" w:rsidRDefault="005208AE" w:rsidP="005208AE">
      <w:pPr>
        <w:widowControl w:val="0"/>
        <w:autoSpaceDE w:val="0"/>
        <w:autoSpaceDN w:val="0"/>
        <w:adjustRightInd w:val="0"/>
        <w:spacing w:after="0" w:line="240" w:lineRule="auto"/>
        <w:rPr>
          <w:rFonts w:ascii="Times New Roman" w:eastAsiaTheme="minorEastAsia" w:hAnsi="Times New Roman" w:cs="Times New Roman"/>
          <w:b/>
          <w:bCs/>
          <w:sz w:val="24"/>
          <w:szCs w:val="24"/>
          <w:u w:val="single"/>
        </w:rPr>
      </w:pPr>
      <w:r>
        <w:rPr>
          <w:rFonts w:ascii="Times New Roman" w:eastAsiaTheme="minorEastAsia" w:hAnsi="Times New Roman" w:cs="Times New Roman"/>
          <w:sz w:val="24"/>
          <w:szCs w:val="24"/>
        </w:rPr>
        <w:t>Phase II increase effective January 1, 2026</w:t>
      </w:r>
    </w:p>
    <w:p w14:paraId="0110EBF6" w14:textId="77777777" w:rsidR="005208AE" w:rsidRDefault="005208AE" w:rsidP="005208AE">
      <w:pPr>
        <w:widowControl w:val="0"/>
        <w:autoSpaceDE w:val="0"/>
        <w:autoSpaceDN w:val="0"/>
        <w:adjustRightInd w:val="0"/>
        <w:spacing w:after="0" w:line="360" w:lineRule="auto"/>
        <w:ind w:firstLine="720"/>
        <w:rPr>
          <w:rFonts w:ascii="Times New Roman" w:eastAsiaTheme="minorEastAsia" w:hAnsi="Times New Roman" w:cs="Times New Roman"/>
          <w:b/>
          <w:bCs/>
          <w:sz w:val="24"/>
          <w:szCs w:val="24"/>
          <w:u w:val="single"/>
        </w:rPr>
      </w:pPr>
    </w:p>
    <w:p w14:paraId="6A70FCD4" w14:textId="42BE3B3B" w:rsidR="005208AE" w:rsidRPr="0071389F" w:rsidRDefault="005208AE" w:rsidP="005208AE">
      <w:pPr>
        <w:widowControl w:val="0"/>
        <w:autoSpaceDE w:val="0"/>
        <w:autoSpaceDN w:val="0"/>
        <w:adjustRightInd w:val="0"/>
        <w:spacing w:after="0" w:line="360" w:lineRule="auto"/>
        <w:rPr>
          <w:rFonts w:ascii="Times New Roman" w:eastAsiaTheme="minorEastAsia" w:hAnsi="Times New Roman" w:cs="Times New Roman"/>
          <w:sz w:val="24"/>
          <w:szCs w:val="24"/>
        </w:rPr>
      </w:pPr>
      <w:r w:rsidRPr="0071389F">
        <w:rPr>
          <w:rFonts w:ascii="Times New Roman" w:eastAsiaTheme="minorEastAsia" w:hAnsi="Times New Roman" w:cs="Times New Roman"/>
          <w:sz w:val="24"/>
          <w:szCs w:val="24"/>
        </w:rPr>
        <w:t>Section 53.002(A) of the Decatur Code of Ordinances of 2015, as supplemented, is hereby amended to read as follows:</w:t>
      </w:r>
    </w:p>
    <w:p w14:paraId="0BA04828" w14:textId="77777777" w:rsidR="005208AE" w:rsidRPr="0071389F" w:rsidRDefault="005208AE" w:rsidP="005208AE">
      <w:pPr>
        <w:widowControl w:val="0"/>
        <w:autoSpaceDE w:val="0"/>
        <w:autoSpaceDN w:val="0"/>
        <w:adjustRightInd w:val="0"/>
        <w:spacing w:after="0" w:line="360" w:lineRule="auto"/>
        <w:ind w:firstLine="720"/>
        <w:rPr>
          <w:rFonts w:ascii="Times New Roman" w:eastAsiaTheme="minorEastAsia" w:hAnsi="Times New Roman" w:cs="Times New Roman"/>
          <w:sz w:val="24"/>
          <w:szCs w:val="24"/>
        </w:rPr>
      </w:pPr>
    </w:p>
    <w:p w14:paraId="1EFCD2AB" w14:textId="77777777" w:rsidR="005208AE" w:rsidRPr="0071389F" w:rsidRDefault="005208AE" w:rsidP="005208AE">
      <w:pPr>
        <w:widowControl w:val="0"/>
        <w:numPr>
          <w:ilvl w:val="0"/>
          <w:numId w:val="1"/>
        </w:numPr>
        <w:autoSpaceDE w:val="0"/>
        <w:autoSpaceDN w:val="0"/>
        <w:adjustRightInd w:val="0"/>
        <w:spacing w:after="200" w:line="276" w:lineRule="auto"/>
        <w:contextualSpacing/>
        <w:rPr>
          <w:rFonts w:ascii="Times New Roman" w:hAnsi="Times New Roman" w:cs="Times New Roman"/>
          <w:sz w:val="24"/>
          <w:szCs w:val="24"/>
        </w:rPr>
      </w:pPr>
      <w:r w:rsidRPr="0071389F">
        <w:rPr>
          <w:rFonts w:ascii="Times New Roman" w:hAnsi="Times New Roman" w:cs="Times New Roman"/>
          <w:sz w:val="24"/>
          <w:szCs w:val="24"/>
        </w:rPr>
        <w:t>Rates per 100 cubic feet.</w:t>
      </w:r>
    </w:p>
    <w:p w14:paraId="642A9D12" w14:textId="77777777" w:rsidR="005208AE" w:rsidRPr="0071389F" w:rsidRDefault="005208AE" w:rsidP="005208AE">
      <w:pPr>
        <w:widowControl w:val="0"/>
        <w:numPr>
          <w:ilvl w:val="0"/>
          <w:numId w:val="2"/>
        </w:numPr>
        <w:autoSpaceDE w:val="0"/>
        <w:autoSpaceDN w:val="0"/>
        <w:adjustRightInd w:val="0"/>
        <w:spacing w:after="200" w:line="276" w:lineRule="auto"/>
        <w:contextualSpacing/>
        <w:rPr>
          <w:rFonts w:ascii="Times New Roman" w:hAnsi="Times New Roman" w:cs="Times New Roman"/>
          <w:i/>
          <w:sz w:val="24"/>
          <w:szCs w:val="24"/>
        </w:rPr>
      </w:pPr>
      <w:r w:rsidRPr="0071389F">
        <w:rPr>
          <w:rFonts w:ascii="Times New Roman" w:hAnsi="Times New Roman" w:cs="Times New Roman"/>
          <w:sz w:val="24"/>
          <w:szCs w:val="24"/>
        </w:rPr>
        <w:t xml:space="preserve">  </w:t>
      </w:r>
      <w:r w:rsidRPr="0071389F">
        <w:rPr>
          <w:rFonts w:ascii="Times New Roman" w:hAnsi="Times New Roman" w:cs="Times New Roman"/>
          <w:i/>
          <w:sz w:val="24"/>
          <w:szCs w:val="24"/>
        </w:rPr>
        <w:t>Metered rates per month.</w:t>
      </w:r>
    </w:p>
    <w:tbl>
      <w:tblPr>
        <w:tblStyle w:val="TableGrid"/>
        <w:tblW w:w="9715" w:type="dxa"/>
        <w:tblLayout w:type="fixed"/>
        <w:tblLook w:val="04A0" w:firstRow="1" w:lastRow="0" w:firstColumn="1" w:lastColumn="0" w:noHBand="0" w:noVBand="1"/>
      </w:tblPr>
      <w:tblGrid>
        <w:gridCol w:w="2672"/>
        <w:gridCol w:w="2003"/>
        <w:gridCol w:w="1710"/>
        <w:gridCol w:w="1620"/>
        <w:gridCol w:w="1710"/>
      </w:tblGrid>
      <w:tr w:rsidR="005208AE" w14:paraId="4E634DDE" w14:textId="77777777" w:rsidTr="00A631D7">
        <w:tc>
          <w:tcPr>
            <w:tcW w:w="2672" w:type="dxa"/>
          </w:tcPr>
          <w:p w14:paraId="51D8A929" w14:textId="77777777" w:rsidR="005208AE" w:rsidRPr="00925806" w:rsidRDefault="005208AE" w:rsidP="00A631D7">
            <w:pPr>
              <w:widowControl w:val="0"/>
              <w:autoSpaceDE w:val="0"/>
              <w:autoSpaceDN w:val="0"/>
              <w:adjustRightInd w:val="0"/>
              <w:rPr>
                <w:rFonts w:ascii="Times New Roman" w:eastAsiaTheme="minorEastAsia" w:hAnsi="Times New Roman" w:cs="Times New Roman"/>
                <w:b/>
                <w:bCs/>
                <w:sz w:val="24"/>
                <w:szCs w:val="24"/>
              </w:rPr>
            </w:pPr>
            <w:r w:rsidRPr="00925806">
              <w:rPr>
                <w:rFonts w:ascii="Times New Roman" w:eastAsiaTheme="minorEastAsia" w:hAnsi="Times New Roman" w:cs="Times New Roman"/>
                <w:b/>
                <w:bCs/>
                <w:sz w:val="24"/>
                <w:szCs w:val="24"/>
              </w:rPr>
              <w:t>Consumption per Month</w:t>
            </w:r>
          </w:p>
          <w:p w14:paraId="7FDE59C4" w14:textId="77777777" w:rsidR="005208AE" w:rsidRPr="00925806" w:rsidRDefault="005208AE" w:rsidP="00A631D7">
            <w:pPr>
              <w:widowControl w:val="0"/>
              <w:autoSpaceDE w:val="0"/>
              <w:autoSpaceDN w:val="0"/>
              <w:adjustRightInd w:val="0"/>
              <w:rPr>
                <w:rFonts w:ascii="Times New Roman" w:eastAsiaTheme="minorEastAsia" w:hAnsi="Times New Roman" w:cs="Times New Roman"/>
                <w:b/>
                <w:bCs/>
                <w:sz w:val="24"/>
                <w:szCs w:val="24"/>
              </w:rPr>
            </w:pPr>
            <w:r w:rsidRPr="00925806">
              <w:rPr>
                <w:rFonts w:ascii="Times New Roman" w:eastAsiaTheme="minorEastAsia" w:hAnsi="Times New Roman" w:cs="Times New Roman"/>
                <w:b/>
                <w:bCs/>
                <w:sz w:val="24"/>
                <w:szCs w:val="24"/>
              </w:rPr>
              <w:t>Rate per 100 Cubic Ft.</w:t>
            </w:r>
          </w:p>
        </w:tc>
        <w:tc>
          <w:tcPr>
            <w:tcW w:w="2003" w:type="dxa"/>
          </w:tcPr>
          <w:p w14:paraId="1026A62C" w14:textId="77777777" w:rsidR="005208AE" w:rsidRPr="00925806" w:rsidRDefault="005208AE" w:rsidP="00A631D7">
            <w:pPr>
              <w:widowControl w:val="0"/>
              <w:autoSpaceDE w:val="0"/>
              <w:autoSpaceDN w:val="0"/>
              <w:adjustRightInd w:val="0"/>
              <w:rPr>
                <w:rFonts w:ascii="Times New Roman" w:eastAsiaTheme="minorEastAsia" w:hAnsi="Times New Roman" w:cs="Times New Roman"/>
                <w:b/>
                <w:bCs/>
                <w:sz w:val="24"/>
                <w:szCs w:val="24"/>
              </w:rPr>
            </w:pPr>
            <w:r w:rsidRPr="00925806">
              <w:rPr>
                <w:rFonts w:ascii="Times New Roman" w:eastAsiaTheme="minorEastAsia" w:hAnsi="Times New Roman" w:cs="Times New Roman"/>
                <w:b/>
                <w:bCs/>
                <w:sz w:val="24"/>
                <w:szCs w:val="24"/>
              </w:rPr>
              <w:t>Phase I</w:t>
            </w:r>
          </w:p>
          <w:p w14:paraId="35C1A41A" w14:textId="77777777" w:rsidR="005208AE" w:rsidRPr="00925806" w:rsidRDefault="005208AE" w:rsidP="00A631D7">
            <w:pPr>
              <w:widowControl w:val="0"/>
              <w:autoSpaceDE w:val="0"/>
              <w:autoSpaceDN w:val="0"/>
              <w:adjustRightInd w:val="0"/>
              <w:rPr>
                <w:rFonts w:ascii="Times New Roman" w:eastAsiaTheme="minorEastAsia" w:hAnsi="Times New Roman" w:cs="Times New Roman"/>
                <w:b/>
                <w:bCs/>
                <w:sz w:val="24"/>
                <w:szCs w:val="24"/>
              </w:rPr>
            </w:pPr>
            <w:r w:rsidRPr="00925806">
              <w:rPr>
                <w:rFonts w:ascii="Times New Roman" w:eastAsiaTheme="minorEastAsia" w:hAnsi="Times New Roman" w:cs="Times New Roman"/>
                <w:b/>
                <w:bCs/>
                <w:sz w:val="24"/>
                <w:szCs w:val="24"/>
              </w:rPr>
              <w:t>Inside Rates and</w:t>
            </w:r>
          </w:p>
          <w:p w14:paraId="60C1432C" w14:textId="77777777" w:rsidR="005208AE" w:rsidRPr="00925806" w:rsidRDefault="005208AE" w:rsidP="00A631D7">
            <w:pPr>
              <w:widowControl w:val="0"/>
              <w:autoSpaceDE w:val="0"/>
              <w:autoSpaceDN w:val="0"/>
              <w:adjustRightInd w:val="0"/>
              <w:rPr>
                <w:rFonts w:ascii="Times New Roman" w:eastAsiaTheme="minorEastAsia" w:hAnsi="Times New Roman" w:cs="Times New Roman"/>
                <w:b/>
                <w:bCs/>
                <w:sz w:val="24"/>
                <w:szCs w:val="24"/>
              </w:rPr>
            </w:pPr>
            <w:r w:rsidRPr="00925806">
              <w:rPr>
                <w:rFonts w:ascii="Times New Roman" w:eastAsiaTheme="minorEastAsia" w:hAnsi="Times New Roman" w:cs="Times New Roman"/>
                <w:b/>
                <w:bCs/>
                <w:sz w:val="24"/>
                <w:szCs w:val="24"/>
              </w:rPr>
              <w:t>Charges</w:t>
            </w:r>
          </w:p>
        </w:tc>
        <w:tc>
          <w:tcPr>
            <w:tcW w:w="1710" w:type="dxa"/>
          </w:tcPr>
          <w:p w14:paraId="713AE4FE" w14:textId="77777777" w:rsidR="005208AE" w:rsidRPr="00925806" w:rsidRDefault="005208AE" w:rsidP="00A631D7">
            <w:pPr>
              <w:widowControl w:val="0"/>
              <w:autoSpaceDE w:val="0"/>
              <w:autoSpaceDN w:val="0"/>
              <w:adjustRightInd w:val="0"/>
              <w:rPr>
                <w:rFonts w:ascii="Times New Roman" w:eastAsiaTheme="minorEastAsia" w:hAnsi="Times New Roman" w:cs="Times New Roman"/>
                <w:b/>
                <w:bCs/>
                <w:sz w:val="24"/>
                <w:szCs w:val="24"/>
              </w:rPr>
            </w:pPr>
            <w:r w:rsidRPr="00925806">
              <w:rPr>
                <w:rFonts w:ascii="Times New Roman" w:eastAsiaTheme="minorEastAsia" w:hAnsi="Times New Roman" w:cs="Times New Roman"/>
                <w:b/>
                <w:bCs/>
                <w:sz w:val="24"/>
                <w:szCs w:val="24"/>
              </w:rPr>
              <w:t xml:space="preserve">Phase I </w:t>
            </w:r>
          </w:p>
          <w:p w14:paraId="7B6FE7B2" w14:textId="77777777" w:rsidR="005208AE" w:rsidRPr="00925806" w:rsidRDefault="005208AE" w:rsidP="00A631D7">
            <w:pPr>
              <w:widowControl w:val="0"/>
              <w:autoSpaceDE w:val="0"/>
              <w:autoSpaceDN w:val="0"/>
              <w:adjustRightInd w:val="0"/>
              <w:rPr>
                <w:rFonts w:ascii="Times New Roman" w:eastAsiaTheme="minorEastAsia" w:hAnsi="Times New Roman" w:cs="Times New Roman"/>
                <w:b/>
                <w:bCs/>
                <w:sz w:val="24"/>
                <w:szCs w:val="24"/>
              </w:rPr>
            </w:pPr>
            <w:r w:rsidRPr="00925806">
              <w:rPr>
                <w:rFonts w:ascii="Times New Roman" w:eastAsiaTheme="minorEastAsia" w:hAnsi="Times New Roman" w:cs="Times New Roman"/>
                <w:b/>
                <w:bCs/>
                <w:sz w:val="24"/>
                <w:szCs w:val="24"/>
              </w:rPr>
              <w:t>Outside Rates and Charges</w:t>
            </w:r>
          </w:p>
        </w:tc>
        <w:tc>
          <w:tcPr>
            <w:tcW w:w="1620" w:type="dxa"/>
          </w:tcPr>
          <w:p w14:paraId="0F188896" w14:textId="77777777" w:rsidR="005208AE" w:rsidRPr="00925806" w:rsidRDefault="005208AE" w:rsidP="00A631D7">
            <w:pPr>
              <w:widowControl w:val="0"/>
              <w:autoSpaceDE w:val="0"/>
              <w:autoSpaceDN w:val="0"/>
              <w:adjustRightInd w:val="0"/>
              <w:rPr>
                <w:rFonts w:ascii="Times New Roman" w:eastAsiaTheme="minorEastAsia" w:hAnsi="Times New Roman" w:cs="Times New Roman"/>
                <w:b/>
                <w:bCs/>
                <w:sz w:val="24"/>
                <w:szCs w:val="24"/>
              </w:rPr>
            </w:pPr>
            <w:r w:rsidRPr="00925806">
              <w:rPr>
                <w:rFonts w:ascii="Times New Roman" w:eastAsiaTheme="minorEastAsia" w:hAnsi="Times New Roman" w:cs="Times New Roman"/>
                <w:b/>
                <w:bCs/>
                <w:sz w:val="24"/>
                <w:szCs w:val="24"/>
              </w:rPr>
              <w:t xml:space="preserve">Phase II </w:t>
            </w:r>
          </w:p>
          <w:p w14:paraId="3B3C8BC7" w14:textId="77777777" w:rsidR="005208AE" w:rsidRPr="00925806" w:rsidRDefault="005208AE" w:rsidP="00A631D7">
            <w:pPr>
              <w:widowControl w:val="0"/>
              <w:autoSpaceDE w:val="0"/>
              <w:autoSpaceDN w:val="0"/>
              <w:adjustRightInd w:val="0"/>
              <w:rPr>
                <w:rFonts w:ascii="Times New Roman" w:eastAsiaTheme="minorEastAsia" w:hAnsi="Times New Roman" w:cs="Times New Roman"/>
                <w:b/>
                <w:bCs/>
                <w:sz w:val="24"/>
                <w:szCs w:val="24"/>
              </w:rPr>
            </w:pPr>
            <w:r w:rsidRPr="00925806">
              <w:rPr>
                <w:rFonts w:ascii="Times New Roman" w:eastAsiaTheme="minorEastAsia" w:hAnsi="Times New Roman" w:cs="Times New Roman"/>
                <w:b/>
                <w:bCs/>
                <w:sz w:val="24"/>
                <w:szCs w:val="24"/>
              </w:rPr>
              <w:t>Inside Rates and Charges</w:t>
            </w:r>
          </w:p>
        </w:tc>
        <w:tc>
          <w:tcPr>
            <w:tcW w:w="1710" w:type="dxa"/>
          </w:tcPr>
          <w:p w14:paraId="1CCB2E5B" w14:textId="77777777" w:rsidR="005208AE" w:rsidRPr="00925806" w:rsidRDefault="005208AE" w:rsidP="00A631D7">
            <w:pPr>
              <w:widowControl w:val="0"/>
              <w:autoSpaceDE w:val="0"/>
              <w:autoSpaceDN w:val="0"/>
              <w:adjustRightInd w:val="0"/>
              <w:rPr>
                <w:rFonts w:ascii="Times New Roman" w:eastAsiaTheme="minorEastAsia" w:hAnsi="Times New Roman" w:cs="Times New Roman"/>
                <w:b/>
                <w:bCs/>
                <w:sz w:val="24"/>
                <w:szCs w:val="24"/>
              </w:rPr>
            </w:pPr>
            <w:r w:rsidRPr="00925806">
              <w:rPr>
                <w:rFonts w:ascii="Times New Roman" w:eastAsiaTheme="minorEastAsia" w:hAnsi="Times New Roman" w:cs="Times New Roman"/>
                <w:b/>
                <w:bCs/>
                <w:sz w:val="24"/>
                <w:szCs w:val="24"/>
              </w:rPr>
              <w:t>Phase II</w:t>
            </w:r>
          </w:p>
          <w:p w14:paraId="39BE2377" w14:textId="77777777" w:rsidR="005208AE" w:rsidRPr="00925806" w:rsidRDefault="005208AE" w:rsidP="00A631D7">
            <w:pPr>
              <w:widowControl w:val="0"/>
              <w:autoSpaceDE w:val="0"/>
              <w:autoSpaceDN w:val="0"/>
              <w:adjustRightInd w:val="0"/>
              <w:rPr>
                <w:rFonts w:ascii="Times New Roman" w:eastAsiaTheme="minorEastAsia" w:hAnsi="Times New Roman" w:cs="Times New Roman"/>
                <w:b/>
                <w:bCs/>
                <w:sz w:val="24"/>
                <w:szCs w:val="24"/>
              </w:rPr>
            </w:pPr>
            <w:r w:rsidRPr="00925806">
              <w:rPr>
                <w:rFonts w:ascii="Times New Roman" w:eastAsiaTheme="minorEastAsia" w:hAnsi="Times New Roman" w:cs="Times New Roman"/>
                <w:b/>
                <w:bCs/>
                <w:sz w:val="24"/>
                <w:szCs w:val="24"/>
              </w:rPr>
              <w:t>Outside Rates and Charges</w:t>
            </w:r>
          </w:p>
        </w:tc>
      </w:tr>
      <w:tr w:rsidR="005208AE" w14:paraId="2AA22E1E" w14:textId="77777777" w:rsidTr="00A631D7">
        <w:tc>
          <w:tcPr>
            <w:tcW w:w="2672" w:type="dxa"/>
          </w:tcPr>
          <w:p w14:paraId="52AF1BFB"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First 360 Cubic Ft.</w:t>
            </w:r>
          </w:p>
        </w:tc>
        <w:tc>
          <w:tcPr>
            <w:tcW w:w="2003" w:type="dxa"/>
          </w:tcPr>
          <w:p w14:paraId="22D16053"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$8.72</w:t>
            </w:r>
          </w:p>
        </w:tc>
        <w:tc>
          <w:tcPr>
            <w:tcW w:w="1710" w:type="dxa"/>
          </w:tcPr>
          <w:p w14:paraId="55691875"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$11.32</w:t>
            </w:r>
          </w:p>
        </w:tc>
        <w:tc>
          <w:tcPr>
            <w:tcW w:w="1620" w:type="dxa"/>
          </w:tcPr>
          <w:p w14:paraId="3BDC2535"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$9.62</w:t>
            </w:r>
          </w:p>
        </w:tc>
        <w:tc>
          <w:tcPr>
            <w:tcW w:w="1710" w:type="dxa"/>
          </w:tcPr>
          <w:p w14:paraId="078C40E4"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$12.57</w:t>
            </w:r>
          </w:p>
        </w:tc>
      </w:tr>
      <w:tr w:rsidR="005208AE" w14:paraId="66E7BE73" w14:textId="77777777" w:rsidTr="00A631D7">
        <w:tc>
          <w:tcPr>
            <w:tcW w:w="2672" w:type="dxa"/>
          </w:tcPr>
          <w:p w14:paraId="2ACFECB9"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Next 900 Cubic Ft.</w:t>
            </w:r>
          </w:p>
        </w:tc>
        <w:tc>
          <w:tcPr>
            <w:tcW w:w="2003" w:type="dxa"/>
          </w:tcPr>
          <w:p w14:paraId="05B9350D"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$8.40</w:t>
            </w:r>
          </w:p>
        </w:tc>
        <w:tc>
          <w:tcPr>
            <w:tcW w:w="1710" w:type="dxa"/>
          </w:tcPr>
          <w:p w14:paraId="2D34DDE9"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$10.91</w:t>
            </w:r>
          </w:p>
        </w:tc>
        <w:tc>
          <w:tcPr>
            <w:tcW w:w="1620" w:type="dxa"/>
          </w:tcPr>
          <w:p w14:paraId="6031F13C"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$9.32</w:t>
            </w:r>
          </w:p>
        </w:tc>
        <w:tc>
          <w:tcPr>
            <w:tcW w:w="1710" w:type="dxa"/>
          </w:tcPr>
          <w:p w14:paraId="77007079"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$12.11</w:t>
            </w:r>
          </w:p>
        </w:tc>
      </w:tr>
      <w:tr w:rsidR="005208AE" w14:paraId="7C3375A0" w14:textId="77777777" w:rsidTr="00A631D7">
        <w:tc>
          <w:tcPr>
            <w:tcW w:w="2672" w:type="dxa"/>
          </w:tcPr>
          <w:p w14:paraId="63824294"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Next 1,000 Cubic Ft.</w:t>
            </w:r>
          </w:p>
        </w:tc>
        <w:tc>
          <w:tcPr>
            <w:tcW w:w="2003" w:type="dxa"/>
          </w:tcPr>
          <w:p w14:paraId="17410AD3"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$8.09</w:t>
            </w:r>
          </w:p>
        </w:tc>
        <w:tc>
          <w:tcPr>
            <w:tcW w:w="1710" w:type="dxa"/>
          </w:tcPr>
          <w:p w14:paraId="3548F913"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$10.48</w:t>
            </w:r>
          </w:p>
        </w:tc>
        <w:tc>
          <w:tcPr>
            <w:tcW w:w="1620" w:type="dxa"/>
          </w:tcPr>
          <w:p w14:paraId="4B881F20"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$8.98</w:t>
            </w:r>
          </w:p>
        </w:tc>
        <w:tc>
          <w:tcPr>
            <w:tcW w:w="1710" w:type="dxa"/>
          </w:tcPr>
          <w:p w14:paraId="401EE491"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$11.63</w:t>
            </w:r>
          </w:p>
        </w:tc>
      </w:tr>
      <w:tr w:rsidR="005208AE" w14:paraId="3827C68A" w14:textId="77777777" w:rsidTr="00A631D7">
        <w:tc>
          <w:tcPr>
            <w:tcW w:w="2672" w:type="dxa"/>
          </w:tcPr>
          <w:p w14:paraId="5D346AFE"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Next 2,000 Cubic Ft.</w:t>
            </w:r>
          </w:p>
        </w:tc>
        <w:tc>
          <w:tcPr>
            <w:tcW w:w="2003" w:type="dxa"/>
          </w:tcPr>
          <w:p w14:paraId="3EF97375"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$7.53</w:t>
            </w:r>
          </w:p>
        </w:tc>
        <w:tc>
          <w:tcPr>
            <w:tcW w:w="1710" w:type="dxa"/>
          </w:tcPr>
          <w:p w14:paraId="02CF198A"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$9.78</w:t>
            </w:r>
          </w:p>
        </w:tc>
        <w:tc>
          <w:tcPr>
            <w:tcW w:w="1620" w:type="dxa"/>
          </w:tcPr>
          <w:p w14:paraId="5E1361ED"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$8.36</w:t>
            </w:r>
          </w:p>
        </w:tc>
        <w:tc>
          <w:tcPr>
            <w:tcW w:w="1710" w:type="dxa"/>
          </w:tcPr>
          <w:p w14:paraId="28A0B40B"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$10.86</w:t>
            </w:r>
          </w:p>
        </w:tc>
      </w:tr>
      <w:tr w:rsidR="005208AE" w14:paraId="7A52ABBF" w14:textId="77777777" w:rsidTr="00A631D7">
        <w:tc>
          <w:tcPr>
            <w:tcW w:w="2672" w:type="dxa"/>
          </w:tcPr>
          <w:p w14:paraId="68F86CFA"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Next 16,000 Cubic Ft.</w:t>
            </w:r>
          </w:p>
        </w:tc>
        <w:tc>
          <w:tcPr>
            <w:tcW w:w="2003" w:type="dxa"/>
          </w:tcPr>
          <w:p w14:paraId="1D79B2A7"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$6.57</w:t>
            </w:r>
          </w:p>
        </w:tc>
        <w:tc>
          <w:tcPr>
            <w:tcW w:w="1710" w:type="dxa"/>
          </w:tcPr>
          <w:p w14:paraId="60C75F7F"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$8.54</w:t>
            </w:r>
          </w:p>
        </w:tc>
        <w:tc>
          <w:tcPr>
            <w:tcW w:w="1620" w:type="dxa"/>
          </w:tcPr>
          <w:p w14:paraId="5BA77921"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$7.29</w:t>
            </w:r>
          </w:p>
        </w:tc>
        <w:tc>
          <w:tcPr>
            <w:tcW w:w="1710" w:type="dxa"/>
          </w:tcPr>
          <w:p w14:paraId="42DED9B4"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$9.48</w:t>
            </w:r>
          </w:p>
        </w:tc>
      </w:tr>
      <w:tr w:rsidR="005208AE" w14:paraId="50AC84A3" w14:textId="77777777" w:rsidTr="00A631D7">
        <w:tc>
          <w:tcPr>
            <w:tcW w:w="2672" w:type="dxa"/>
          </w:tcPr>
          <w:p w14:paraId="5093CB07"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Next 20,000 Cubic Ft.</w:t>
            </w:r>
          </w:p>
        </w:tc>
        <w:tc>
          <w:tcPr>
            <w:tcW w:w="2003" w:type="dxa"/>
          </w:tcPr>
          <w:p w14:paraId="50E0A322"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$3.62</w:t>
            </w:r>
          </w:p>
        </w:tc>
        <w:tc>
          <w:tcPr>
            <w:tcW w:w="1710" w:type="dxa"/>
          </w:tcPr>
          <w:p w14:paraId="54DF3627"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$4.70</w:t>
            </w:r>
          </w:p>
        </w:tc>
        <w:tc>
          <w:tcPr>
            <w:tcW w:w="1620" w:type="dxa"/>
          </w:tcPr>
          <w:p w14:paraId="122D581A"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$4.02</w:t>
            </w:r>
          </w:p>
        </w:tc>
        <w:tc>
          <w:tcPr>
            <w:tcW w:w="1710" w:type="dxa"/>
          </w:tcPr>
          <w:p w14:paraId="7099A06E"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$5.22</w:t>
            </w:r>
          </w:p>
        </w:tc>
      </w:tr>
      <w:tr w:rsidR="005208AE" w14:paraId="3654FAC1" w14:textId="77777777" w:rsidTr="00A631D7">
        <w:tc>
          <w:tcPr>
            <w:tcW w:w="2672" w:type="dxa"/>
          </w:tcPr>
          <w:p w14:paraId="0569319E"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Over 40,260 Cubic Ft.</w:t>
            </w:r>
          </w:p>
        </w:tc>
        <w:tc>
          <w:tcPr>
            <w:tcW w:w="2003" w:type="dxa"/>
          </w:tcPr>
          <w:p w14:paraId="2FA12A0E"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$3.28</w:t>
            </w:r>
          </w:p>
        </w:tc>
        <w:tc>
          <w:tcPr>
            <w:tcW w:w="1710" w:type="dxa"/>
          </w:tcPr>
          <w:p w14:paraId="54D722A4"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$4.25</w:t>
            </w:r>
          </w:p>
        </w:tc>
        <w:tc>
          <w:tcPr>
            <w:tcW w:w="1620" w:type="dxa"/>
          </w:tcPr>
          <w:p w14:paraId="5C58D953"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$3.64</w:t>
            </w:r>
          </w:p>
        </w:tc>
        <w:tc>
          <w:tcPr>
            <w:tcW w:w="1710" w:type="dxa"/>
          </w:tcPr>
          <w:p w14:paraId="579626A2"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$4.72</w:t>
            </w:r>
          </w:p>
        </w:tc>
      </w:tr>
    </w:tbl>
    <w:p w14:paraId="75249926" w14:textId="77777777" w:rsidR="005208AE" w:rsidRPr="0071389F" w:rsidRDefault="005208AE" w:rsidP="005208AE">
      <w:pPr>
        <w:widowControl w:val="0"/>
        <w:autoSpaceDE w:val="0"/>
        <w:autoSpaceDN w:val="0"/>
        <w:adjustRightInd w:val="0"/>
        <w:spacing w:after="0" w:line="240" w:lineRule="auto"/>
        <w:rPr>
          <w:rFonts w:ascii="Times New Roman" w:eastAsiaTheme="minorEastAsia" w:hAnsi="Times New Roman" w:cs="Times New Roman"/>
          <w:sz w:val="24"/>
          <w:szCs w:val="24"/>
        </w:rPr>
      </w:pPr>
      <w:r w:rsidRPr="0071389F">
        <w:rPr>
          <w:rFonts w:ascii="Times New Roman" w:eastAsiaTheme="minorEastAsia" w:hAnsi="Times New Roman" w:cs="Times New Roman"/>
          <w:sz w:val="24"/>
          <w:szCs w:val="24"/>
        </w:rPr>
        <w:tab/>
      </w:r>
      <w:r w:rsidRPr="0071389F">
        <w:rPr>
          <w:rFonts w:ascii="Times New Roman" w:eastAsiaTheme="minorEastAsia" w:hAnsi="Times New Roman" w:cs="Times New Roman"/>
          <w:sz w:val="24"/>
          <w:szCs w:val="24"/>
        </w:rPr>
        <w:tab/>
      </w:r>
    </w:p>
    <w:p w14:paraId="18143B3F" w14:textId="77777777" w:rsidR="005208AE" w:rsidRPr="0071389F" w:rsidRDefault="005208AE" w:rsidP="005208AE">
      <w:pPr>
        <w:widowControl w:val="0"/>
        <w:autoSpaceDE w:val="0"/>
        <w:autoSpaceDN w:val="0"/>
        <w:adjustRightInd w:val="0"/>
        <w:spacing w:after="0" w:line="240" w:lineRule="auto"/>
        <w:rPr>
          <w:rFonts w:ascii="Times New Roman" w:hAnsi="Times New Roman" w:cs="Times New Roman"/>
          <w:i/>
        </w:rPr>
      </w:pPr>
      <w:r w:rsidRPr="0071389F">
        <w:rPr>
          <w:rFonts w:ascii="Times New Roman" w:eastAsiaTheme="minorEastAsia" w:hAnsi="Times New Roman" w:cs="Times New Roman"/>
          <w:sz w:val="24"/>
          <w:szCs w:val="24"/>
        </w:rPr>
        <w:t>(2)</w:t>
      </w:r>
      <w:r w:rsidRPr="0071389F">
        <w:rPr>
          <w:rFonts w:ascii="Times New Roman" w:eastAsiaTheme="minorEastAsia" w:hAnsi="Times New Roman" w:cs="Times New Roman"/>
          <w:sz w:val="24"/>
          <w:szCs w:val="24"/>
        </w:rPr>
        <w:tab/>
      </w:r>
      <w:r w:rsidRPr="0071389F">
        <w:rPr>
          <w:rFonts w:ascii="Times New Roman" w:eastAsiaTheme="minorEastAsia" w:hAnsi="Times New Roman" w:cs="Times New Roman"/>
          <w:i/>
          <w:sz w:val="24"/>
          <w:szCs w:val="24"/>
        </w:rPr>
        <w:t>Minimum charge.</w:t>
      </w:r>
    </w:p>
    <w:p w14:paraId="5B319DDA" w14:textId="77777777" w:rsidR="005208AE" w:rsidRPr="0071389F" w:rsidRDefault="005208AE" w:rsidP="005208AE">
      <w:pPr>
        <w:widowControl w:val="0"/>
        <w:autoSpaceDE w:val="0"/>
        <w:autoSpaceDN w:val="0"/>
        <w:adjustRightInd w:val="0"/>
        <w:spacing w:after="0" w:line="240" w:lineRule="auto"/>
        <w:rPr>
          <w:rFonts w:ascii="Times New Roman" w:eastAsiaTheme="minorEastAsia" w:hAnsi="Times New Roman" w:cs="Times New Roman"/>
          <w:sz w:val="24"/>
          <w:szCs w:val="24"/>
        </w:rPr>
      </w:pPr>
      <w:r w:rsidRPr="0071389F">
        <w:rPr>
          <w:rFonts w:ascii="Times New Roman" w:eastAsiaTheme="minorEastAsia" w:hAnsi="Times New Roman" w:cs="Times New Roman"/>
          <w:i/>
          <w:sz w:val="24"/>
          <w:szCs w:val="24"/>
        </w:rPr>
        <w:tab/>
      </w:r>
      <w:r w:rsidRPr="0071389F">
        <w:rPr>
          <w:rFonts w:ascii="Times New Roman" w:eastAsiaTheme="minorEastAsia" w:hAnsi="Times New Roman" w:cs="Times New Roman"/>
          <w:sz w:val="24"/>
          <w:szCs w:val="24"/>
        </w:rPr>
        <w:t>(a)  Each user shall pay a minimum charge in accordance with the following applicable size of meter installed, for which the user will be entitled to the quantity of water set out in the above schedule of rates:</w:t>
      </w:r>
    </w:p>
    <w:p w14:paraId="1981965B" w14:textId="77777777" w:rsidR="005208AE" w:rsidRPr="0071389F" w:rsidRDefault="005208AE" w:rsidP="005208AE">
      <w:pPr>
        <w:widowControl w:val="0"/>
        <w:autoSpaceDE w:val="0"/>
        <w:autoSpaceDN w:val="0"/>
        <w:adjustRightInd w:val="0"/>
        <w:spacing w:after="0" w:line="240" w:lineRule="auto"/>
        <w:rPr>
          <w:rFonts w:ascii="Times New Roman" w:eastAsiaTheme="minorEastAsia" w:hAnsi="Times New Roman" w:cs="Times New Roman"/>
          <w:sz w:val="24"/>
          <w:szCs w:val="24"/>
        </w:rPr>
      </w:pPr>
      <w:r w:rsidRPr="0071389F">
        <w:rPr>
          <w:rFonts w:ascii="Times New Roman" w:eastAsiaTheme="minorEastAsia" w:hAnsi="Times New Roman" w:cs="Times New Roman"/>
          <w:sz w:val="24"/>
          <w:szCs w:val="24"/>
        </w:rPr>
        <w:tab/>
      </w:r>
      <w:r w:rsidRPr="0071389F">
        <w:rPr>
          <w:rFonts w:ascii="Times New Roman" w:eastAsiaTheme="minorEastAsia" w:hAnsi="Times New Roman" w:cs="Times New Roman"/>
          <w:sz w:val="24"/>
          <w:szCs w:val="24"/>
        </w:rPr>
        <w:tab/>
      </w:r>
    </w:p>
    <w:tbl>
      <w:tblPr>
        <w:tblStyle w:val="TableGrid"/>
        <w:tblW w:w="0" w:type="auto"/>
        <w:tblLook w:val="04A0" w:firstRow="1" w:lastRow="0" w:firstColumn="1" w:lastColumn="0" w:noHBand="0" w:noVBand="1"/>
      </w:tblPr>
      <w:tblGrid>
        <w:gridCol w:w="1870"/>
        <w:gridCol w:w="1870"/>
        <w:gridCol w:w="1870"/>
        <w:gridCol w:w="1870"/>
        <w:gridCol w:w="1870"/>
      </w:tblGrid>
      <w:tr w:rsidR="005208AE" w14:paraId="53AFB245" w14:textId="77777777" w:rsidTr="00A631D7">
        <w:tc>
          <w:tcPr>
            <w:tcW w:w="1870" w:type="dxa"/>
          </w:tcPr>
          <w:p w14:paraId="1B71D297" w14:textId="77777777" w:rsidR="005208AE" w:rsidRPr="00AF284A" w:rsidRDefault="005208AE" w:rsidP="00A631D7">
            <w:pPr>
              <w:widowControl w:val="0"/>
              <w:autoSpaceDE w:val="0"/>
              <w:autoSpaceDN w:val="0"/>
              <w:adjustRightInd w:val="0"/>
              <w:rPr>
                <w:rFonts w:ascii="Times New Roman" w:eastAsiaTheme="minorEastAsia" w:hAnsi="Times New Roman" w:cs="Times New Roman"/>
                <w:b/>
                <w:bCs/>
                <w:sz w:val="24"/>
                <w:szCs w:val="24"/>
              </w:rPr>
            </w:pPr>
            <w:r w:rsidRPr="00AF284A">
              <w:rPr>
                <w:rFonts w:ascii="Times New Roman" w:eastAsiaTheme="minorEastAsia" w:hAnsi="Times New Roman" w:cs="Times New Roman"/>
                <w:b/>
                <w:bCs/>
                <w:sz w:val="24"/>
                <w:szCs w:val="24"/>
              </w:rPr>
              <w:t>Meter Size</w:t>
            </w:r>
          </w:p>
        </w:tc>
        <w:tc>
          <w:tcPr>
            <w:tcW w:w="1870" w:type="dxa"/>
          </w:tcPr>
          <w:p w14:paraId="78A8A0CD" w14:textId="77777777" w:rsidR="005208AE" w:rsidRPr="00925806" w:rsidRDefault="005208AE" w:rsidP="00A631D7">
            <w:pPr>
              <w:widowControl w:val="0"/>
              <w:autoSpaceDE w:val="0"/>
              <w:autoSpaceDN w:val="0"/>
              <w:adjustRightInd w:val="0"/>
              <w:rPr>
                <w:rFonts w:ascii="Times New Roman" w:eastAsiaTheme="minorEastAsia" w:hAnsi="Times New Roman" w:cs="Times New Roman"/>
                <w:b/>
                <w:bCs/>
                <w:sz w:val="24"/>
                <w:szCs w:val="24"/>
              </w:rPr>
            </w:pPr>
            <w:r w:rsidRPr="00925806">
              <w:rPr>
                <w:rFonts w:ascii="Times New Roman" w:eastAsiaTheme="minorEastAsia" w:hAnsi="Times New Roman" w:cs="Times New Roman"/>
                <w:b/>
                <w:bCs/>
                <w:sz w:val="24"/>
                <w:szCs w:val="24"/>
              </w:rPr>
              <w:t>Phase I</w:t>
            </w:r>
          </w:p>
          <w:p w14:paraId="782DD048" w14:textId="77777777" w:rsidR="005208AE" w:rsidRPr="00AF284A" w:rsidRDefault="005208AE" w:rsidP="00A631D7">
            <w:pPr>
              <w:widowControl w:val="0"/>
              <w:autoSpaceDE w:val="0"/>
              <w:autoSpaceDN w:val="0"/>
              <w:adjustRightInd w:val="0"/>
              <w:rPr>
                <w:rFonts w:ascii="Times New Roman" w:eastAsiaTheme="minorEastAsia" w:hAnsi="Times New Roman" w:cs="Times New Roman"/>
                <w:b/>
                <w:bCs/>
                <w:sz w:val="24"/>
                <w:szCs w:val="24"/>
              </w:rPr>
            </w:pPr>
            <w:r w:rsidRPr="00925806">
              <w:rPr>
                <w:rFonts w:ascii="Times New Roman" w:eastAsiaTheme="minorEastAsia" w:hAnsi="Times New Roman" w:cs="Times New Roman"/>
                <w:b/>
                <w:bCs/>
                <w:sz w:val="24"/>
                <w:szCs w:val="24"/>
              </w:rPr>
              <w:t>Inside Rates and</w:t>
            </w:r>
            <w:r>
              <w:rPr>
                <w:rFonts w:ascii="Times New Roman" w:eastAsiaTheme="minorEastAsia" w:hAnsi="Times New Roman" w:cs="Times New Roman"/>
                <w:b/>
                <w:bCs/>
                <w:sz w:val="24"/>
                <w:szCs w:val="24"/>
              </w:rPr>
              <w:t xml:space="preserve"> </w:t>
            </w:r>
            <w:r w:rsidRPr="00925806">
              <w:rPr>
                <w:rFonts w:ascii="Times New Roman" w:eastAsiaTheme="minorEastAsia" w:hAnsi="Times New Roman" w:cs="Times New Roman"/>
                <w:b/>
                <w:bCs/>
                <w:sz w:val="24"/>
                <w:szCs w:val="24"/>
              </w:rPr>
              <w:t>Charges</w:t>
            </w:r>
          </w:p>
        </w:tc>
        <w:tc>
          <w:tcPr>
            <w:tcW w:w="1870" w:type="dxa"/>
          </w:tcPr>
          <w:p w14:paraId="109C4515" w14:textId="77777777" w:rsidR="005208AE" w:rsidRPr="00925806" w:rsidRDefault="005208AE" w:rsidP="00A631D7">
            <w:pPr>
              <w:widowControl w:val="0"/>
              <w:autoSpaceDE w:val="0"/>
              <w:autoSpaceDN w:val="0"/>
              <w:adjustRightInd w:val="0"/>
              <w:rPr>
                <w:rFonts w:ascii="Times New Roman" w:eastAsiaTheme="minorEastAsia" w:hAnsi="Times New Roman" w:cs="Times New Roman"/>
                <w:b/>
                <w:bCs/>
                <w:sz w:val="24"/>
                <w:szCs w:val="24"/>
              </w:rPr>
            </w:pPr>
            <w:r w:rsidRPr="00925806">
              <w:rPr>
                <w:rFonts w:ascii="Times New Roman" w:eastAsiaTheme="minorEastAsia" w:hAnsi="Times New Roman" w:cs="Times New Roman"/>
                <w:b/>
                <w:bCs/>
                <w:sz w:val="24"/>
                <w:szCs w:val="24"/>
              </w:rPr>
              <w:t xml:space="preserve">Phase I </w:t>
            </w:r>
          </w:p>
          <w:p w14:paraId="5612F1E5"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sidRPr="00925806">
              <w:rPr>
                <w:rFonts w:ascii="Times New Roman" w:eastAsiaTheme="minorEastAsia" w:hAnsi="Times New Roman" w:cs="Times New Roman"/>
                <w:b/>
                <w:bCs/>
                <w:sz w:val="24"/>
                <w:szCs w:val="24"/>
              </w:rPr>
              <w:t>Outside Rates and Charges</w:t>
            </w:r>
          </w:p>
        </w:tc>
        <w:tc>
          <w:tcPr>
            <w:tcW w:w="1870" w:type="dxa"/>
          </w:tcPr>
          <w:p w14:paraId="2FD6D208" w14:textId="77777777" w:rsidR="005208AE" w:rsidRPr="00925806" w:rsidRDefault="005208AE" w:rsidP="00A631D7">
            <w:pPr>
              <w:widowControl w:val="0"/>
              <w:autoSpaceDE w:val="0"/>
              <w:autoSpaceDN w:val="0"/>
              <w:adjustRightInd w:val="0"/>
              <w:rPr>
                <w:rFonts w:ascii="Times New Roman" w:eastAsiaTheme="minorEastAsia" w:hAnsi="Times New Roman" w:cs="Times New Roman"/>
                <w:b/>
                <w:bCs/>
                <w:sz w:val="24"/>
                <w:szCs w:val="24"/>
              </w:rPr>
            </w:pPr>
            <w:r w:rsidRPr="00925806">
              <w:rPr>
                <w:rFonts w:ascii="Times New Roman" w:eastAsiaTheme="minorEastAsia" w:hAnsi="Times New Roman" w:cs="Times New Roman"/>
                <w:b/>
                <w:bCs/>
                <w:sz w:val="24"/>
                <w:szCs w:val="24"/>
              </w:rPr>
              <w:t xml:space="preserve">Phase II </w:t>
            </w:r>
          </w:p>
          <w:p w14:paraId="5F444FB3"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sidRPr="00925806">
              <w:rPr>
                <w:rFonts w:ascii="Times New Roman" w:eastAsiaTheme="minorEastAsia" w:hAnsi="Times New Roman" w:cs="Times New Roman"/>
                <w:b/>
                <w:bCs/>
                <w:sz w:val="24"/>
                <w:szCs w:val="24"/>
              </w:rPr>
              <w:t>Inside Rates and Charges</w:t>
            </w:r>
          </w:p>
        </w:tc>
        <w:tc>
          <w:tcPr>
            <w:tcW w:w="1870" w:type="dxa"/>
          </w:tcPr>
          <w:p w14:paraId="5AB27B37" w14:textId="77777777" w:rsidR="005208AE" w:rsidRPr="00925806" w:rsidRDefault="005208AE" w:rsidP="00A631D7">
            <w:pPr>
              <w:widowControl w:val="0"/>
              <w:autoSpaceDE w:val="0"/>
              <w:autoSpaceDN w:val="0"/>
              <w:adjustRightInd w:val="0"/>
              <w:rPr>
                <w:rFonts w:ascii="Times New Roman" w:eastAsiaTheme="minorEastAsia" w:hAnsi="Times New Roman" w:cs="Times New Roman"/>
                <w:b/>
                <w:bCs/>
                <w:sz w:val="24"/>
                <w:szCs w:val="24"/>
              </w:rPr>
            </w:pPr>
            <w:r w:rsidRPr="00925806">
              <w:rPr>
                <w:rFonts w:ascii="Times New Roman" w:eastAsiaTheme="minorEastAsia" w:hAnsi="Times New Roman" w:cs="Times New Roman"/>
                <w:b/>
                <w:bCs/>
                <w:sz w:val="24"/>
                <w:szCs w:val="24"/>
              </w:rPr>
              <w:t>Phase II</w:t>
            </w:r>
          </w:p>
          <w:p w14:paraId="0C2DCA1F"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sidRPr="00925806">
              <w:rPr>
                <w:rFonts w:ascii="Times New Roman" w:eastAsiaTheme="minorEastAsia" w:hAnsi="Times New Roman" w:cs="Times New Roman"/>
                <w:b/>
                <w:bCs/>
                <w:sz w:val="24"/>
                <w:szCs w:val="24"/>
              </w:rPr>
              <w:t>Outside Rates and Charges</w:t>
            </w:r>
          </w:p>
        </w:tc>
      </w:tr>
      <w:tr w:rsidR="005208AE" w14:paraId="6BBE033F" w14:textId="77777777" w:rsidTr="00A631D7">
        <w:tc>
          <w:tcPr>
            <w:tcW w:w="1870" w:type="dxa"/>
          </w:tcPr>
          <w:p w14:paraId="1656E4F3"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5/8 inch</w:t>
            </w:r>
            <w:proofErr w:type="gramEnd"/>
            <w:r>
              <w:rPr>
                <w:rFonts w:ascii="Times New Roman" w:eastAsiaTheme="minorEastAsia" w:hAnsi="Times New Roman" w:cs="Times New Roman"/>
                <w:sz w:val="24"/>
                <w:szCs w:val="24"/>
              </w:rPr>
              <w:t xml:space="preserve"> meter</w:t>
            </w:r>
          </w:p>
        </w:tc>
        <w:tc>
          <w:tcPr>
            <w:tcW w:w="1870" w:type="dxa"/>
          </w:tcPr>
          <w:p w14:paraId="1E99F6A0"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$31.39</w:t>
            </w:r>
          </w:p>
        </w:tc>
        <w:tc>
          <w:tcPr>
            <w:tcW w:w="1870" w:type="dxa"/>
          </w:tcPr>
          <w:p w14:paraId="13972262"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$40.75</w:t>
            </w:r>
          </w:p>
        </w:tc>
        <w:tc>
          <w:tcPr>
            <w:tcW w:w="1870" w:type="dxa"/>
          </w:tcPr>
          <w:p w14:paraId="280EBD4E"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$34.85</w:t>
            </w:r>
          </w:p>
        </w:tc>
        <w:tc>
          <w:tcPr>
            <w:tcW w:w="1870" w:type="dxa"/>
          </w:tcPr>
          <w:p w14:paraId="5881198C"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$45.25</w:t>
            </w:r>
          </w:p>
        </w:tc>
      </w:tr>
      <w:tr w:rsidR="005208AE" w14:paraId="09D066F9" w14:textId="77777777" w:rsidTr="00A631D7">
        <w:tc>
          <w:tcPr>
            <w:tcW w:w="1870" w:type="dxa"/>
          </w:tcPr>
          <w:p w14:paraId="738F7D99"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3/4 inch</w:t>
            </w:r>
            <w:proofErr w:type="gramEnd"/>
            <w:r>
              <w:rPr>
                <w:rFonts w:ascii="Times New Roman" w:eastAsiaTheme="minorEastAsia" w:hAnsi="Times New Roman" w:cs="Times New Roman"/>
                <w:sz w:val="24"/>
                <w:szCs w:val="24"/>
              </w:rPr>
              <w:t xml:space="preserve"> meter</w:t>
            </w:r>
          </w:p>
        </w:tc>
        <w:tc>
          <w:tcPr>
            <w:tcW w:w="1870" w:type="dxa"/>
          </w:tcPr>
          <w:p w14:paraId="62D23E35"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$31.39</w:t>
            </w:r>
          </w:p>
        </w:tc>
        <w:tc>
          <w:tcPr>
            <w:tcW w:w="1870" w:type="dxa"/>
          </w:tcPr>
          <w:p w14:paraId="36A95930"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$40.75</w:t>
            </w:r>
          </w:p>
        </w:tc>
        <w:tc>
          <w:tcPr>
            <w:tcW w:w="1870" w:type="dxa"/>
          </w:tcPr>
          <w:p w14:paraId="19CF496D"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$34.85</w:t>
            </w:r>
          </w:p>
        </w:tc>
        <w:tc>
          <w:tcPr>
            <w:tcW w:w="1870" w:type="dxa"/>
          </w:tcPr>
          <w:p w14:paraId="40409CE9"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$45.25</w:t>
            </w:r>
          </w:p>
        </w:tc>
      </w:tr>
      <w:tr w:rsidR="005208AE" w14:paraId="2DB370BE" w14:textId="77777777" w:rsidTr="00A631D7">
        <w:tc>
          <w:tcPr>
            <w:tcW w:w="1870" w:type="dxa"/>
          </w:tcPr>
          <w:p w14:paraId="1B0B0725"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1 inch meter</w:t>
            </w:r>
          </w:p>
        </w:tc>
        <w:tc>
          <w:tcPr>
            <w:tcW w:w="1870" w:type="dxa"/>
          </w:tcPr>
          <w:p w14:paraId="111DE21F"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$35.44</w:t>
            </w:r>
          </w:p>
        </w:tc>
        <w:tc>
          <w:tcPr>
            <w:tcW w:w="1870" w:type="dxa"/>
          </w:tcPr>
          <w:p w14:paraId="42788445"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$46.05</w:t>
            </w:r>
          </w:p>
        </w:tc>
        <w:tc>
          <w:tcPr>
            <w:tcW w:w="1870" w:type="dxa"/>
          </w:tcPr>
          <w:p w14:paraId="24773012"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$39.34</w:t>
            </w:r>
          </w:p>
        </w:tc>
        <w:tc>
          <w:tcPr>
            <w:tcW w:w="1870" w:type="dxa"/>
          </w:tcPr>
          <w:p w14:paraId="0B7BF6B0"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$51.12</w:t>
            </w:r>
          </w:p>
        </w:tc>
      </w:tr>
      <w:tr w:rsidR="005208AE" w14:paraId="0248F282" w14:textId="77777777" w:rsidTr="00A631D7">
        <w:tc>
          <w:tcPr>
            <w:tcW w:w="1870" w:type="dxa"/>
          </w:tcPr>
          <w:p w14:paraId="57F8E258"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 </w:t>
            </w:r>
            <w:proofErr w:type="gramStart"/>
            <w:r>
              <w:rPr>
                <w:rFonts w:ascii="Times New Roman" w:eastAsiaTheme="minorEastAsia" w:hAnsi="Times New Roman" w:cs="Times New Roman"/>
                <w:sz w:val="24"/>
                <w:szCs w:val="24"/>
              </w:rPr>
              <w:t>1/4 inch</w:t>
            </w:r>
            <w:proofErr w:type="gramEnd"/>
            <w:r>
              <w:rPr>
                <w:rFonts w:ascii="Times New Roman" w:eastAsiaTheme="minorEastAsia" w:hAnsi="Times New Roman" w:cs="Times New Roman"/>
                <w:sz w:val="24"/>
                <w:szCs w:val="24"/>
              </w:rPr>
              <w:t xml:space="preserve"> meter</w:t>
            </w:r>
          </w:p>
        </w:tc>
        <w:tc>
          <w:tcPr>
            <w:tcW w:w="1870" w:type="dxa"/>
          </w:tcPr>
          <w:p w14:paraId="02102217"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$54.21</w:t>
            </w:r>
          </w:p>
        </w:tc>
        <w:tc>
          <w:tcPr>
            <w:tcW w:w="1870" w:type="dxa"/>
          </w:tcPr>
          <w:p w14:paraId="3FF870D9"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$70.46</w:t>
            </w:r>
          </w:p>
        </w:tc>
        <w:tc>
          <w:tcPr>
            <w:tcW w:w="1870" w:type="dxa"/>
          </w:tcPr>
          <w:p w14:paraId="390DF9EB"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$60.17</w:t>
            </w:r>
          </w:p>
        </w:tc>
        <w:tc>
          <w:tcPr>
            <w:tcW w:w="1870" w:type="dxa"/>
          </w:tcPr>
          <w:p w14:paraId="683988FB"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$78.21</w:t>
            </w:r>
          </w:p>
        </w:tc>
      </w:tr>
      <w:tr w:rsidR="005208AE" w14:paraId="24217022" w14:textId="77777777" w:rsidTr="00A631D7">
        <w:tc>
          <w:tcPr>
            <w:tcW w:w="1870" w:type="dxa"/>
          </w:tcPr>
          <w:p w14:paraId="438C193A"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 </w:t>
            </w:r>
            <w:proofErr w:type="gramStart"/>
            <w:r>
              <w:rPr>
                <w:rFonts w:ascii="Times New Roman" w:eastAsiaTheme="minorEastAsia" w:hAnsi="Times New Roman" w:cs="Times New Roman"/>
                <w:sz w:val="24"/>
                <w:szCs w:val="24"/>
              </w:rPr>
              <w:t>1/2 inch</w:t>
            </w:r>
            <w:proofErr w:type="gramEnd"/>
            <w:r>
              <w:rPr>
                <w:rFonts w:ascii="Times New Roman" w:eastAsiaTheme="minorEastAsia" w:hAnsi="Times New Roman" w:cs="Times New Roman"/>
                <w:sz w:val="24"/>
                <w:szCs w:val="24"/>
              </w:rPr>
              <w:t xml:space="preserve"> meter</w:t>
            </w:r>
          </w:p>
        </w:tc>
        <w:tc>
          <w:tcPr>
            <w:tcW w:w="1870" w:type="dxa"/>
          </w:tcPr>
          <w:p w14:paraId="70B0A228"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$82.47</w:t>
            </w:r>
          </w:p>
        </w:tc>
        <w:tc>
          <w:tcPr>
            <w:tcW w:w="1870" w:type="dxa"/>
          </w:tcPr>
          <w:p w14:paraId="4349D271"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$107.19</w:t>
            </w:r>
          </w:p>
        </w:tc>
        <w:tc>
          <w:tcPr>
            <w:tcW w:w="1870" w:type="dxa"/>
          </w:tcPr>
          <w:p w14:paraId="021B00E9"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$91.54</w:t>
            </w:r>
          </w:p>
        </w:tc>
        <w:tc>
          <w:tcPr>
            <w:tcW w:w="1870" w:type="dxa"/>
          </w:tcPr>
          <w:p w14:paraId="60FEA589"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$118.98</w:t>
            </w:r>
          </w:p>
        </w:tc>
      </w:tr>
      <w:tr w:rsidR="005208AE" w14:paraId="41D0D2B0" w14:textId="77777777" w:rsidTr="00A631D7">
        <w:tc>
          <w:tcPr>
            <w:tcW w:w="1870" w:type="dxa"/>
          </w:tcPr>
          <w:p w14:paraId="31D7A065"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lastRenderedPageBreak/>
              <w:t>2 inch</w:t>
            </w:r>
            <w:proofErr w:type="gramEnd"/>
            <w:r>
              <w:rPr>
                <w:rFonts w:ascii="Times New Roman" w:eastAsiaTheme="minorEastAsia" w:hAnsi="Times New Roman" w:cs="Times New Roman"/>
                <w:sz w:val="24"/>
                <w:szCs w:val="24"/>
              </w:rPr>
              <w:t xml:space="preserve"> meter</w:t>
            </w:r>
          </w:p>
        </w:tc>
        <w:tc>
          <w:tcPr>
            <w:tcW w:w="1870" w:type="dxa"/>
          </w:tcPr>
          <w:p w14:paraId="38310694"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$104.35</w:t>
            </w:r>
          </w:p>
        </w:tc>
        <w:tc>
          <w:tcPr>
            <w:tcW w:w="1870" w:type="dxa"/>
          </w:tcPr>
          <w:p w14:paraId="4BD624F8"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$135.63</w:t>
            </w:r>
          </w:p>
        </w:tc>
        <w:tc>
          <w:tcPr>
            <w:tcW w:w="1870" w:type="dxa"/>
          </w:tcPr>
          <w:p w14:paraId="715529B0"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$115.83</w:t>
            </w:r>
          </w:p>
        </w:tc>
        <w:tc>
          <w:tcPr>
            <w:tcW w:w="1870" w:type="dxa"/>
          </w:tcPr>
          <w:p w14:paraId="6B2D3ED8"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$150.55</w:t>
            </w:r>
          </w:p>
        </w:tc>
      </w:tr>
      <w:tr w:rsidR="005208AE" w14:paraId="53C43750" w14:textId="77777777" w:rsidTr="00A631D7">
        <w:tc>
          <w:tcPr>
            <w:tcW w:w="1870" w:type="dxa"/>
          </w:tcPr>
          <w:p w14:paraId="032F8B46"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3 inch</w:t>
            </w:r>
            <w:proofErr w:type="gramEnd"/>
            <w:r>
              <w:rPr>
                <w:rFonts w:ascii="Times New Roman" w:eastAsiaTheme="minorEastAsia" w:hAnsi="Times New Roman" w:cs="Times New Roman"/>
                <w:sz w:val="24"/>
                <w:szCs w:val="24"/>
              </w:rPr>
              <w:t xml:space="preserve"> meter</w:t>
            </w:r>
          </w:p>
        </w:tc>
        <w:tc>
          <w:tcPr>
            <w:tcW w:w="1870" w:type="dxa"/>
          </w:tcPr>
          <w:p w14:paraId="51FEAE08"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$141.96</w:t>
            </w:r>
          </w:p>
        </w:tc>
        <w:tc>
          <w:tcPr>
            <w:tcW w:w="1870" w:type="dxa"/>
          </w:tcPr>
          <w:p w14:paraId="32674C31"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$184.55</w:t>
            </w:r>
          </w:p>
        </w:tc>
        <w:tc>
          <w:tcPr>
            <w:tcW w:w="1870" w:type="dxa"/>
          </w:tcPr>
          <w:p w14:paraId="3FE2B1C4"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$157.58</w:t>
            </w:r>
          </w:p>
        </w:tc>
        <w:tc>
          <w:tcPr>
            <w:tcW w:w="1870" w:type="dxa"/>
          </w:tcPr>
          <w:p w14:paraId="76CA8E5B"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$204.85</w:t>
            </w:r>
          </w:p>
        </w:tc>
      </w:tr>
      <w:tr w:rsidR="005208AE" w14:paraId="349CCEAE" w14:textId="77777777" w:rsidTr="00A631D7">
        <w:tc>
          <w:tcPr>
            <w:tcW w:w="1870" w:type="dxa"/>
          </w:tcPr>
          <w:p w14:paraId="298AD473"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4 inch</w:t>
            </w:r>
            <w:proofErr w:type="gramEnd"/>
            <w:r>
              <w:rPr>
                <w:rFonts w:ascii="Times New Roman" w:eastAsiaTheme="minorEastAsia" w:hAnsi="Times New Roman" w:cs="Times New Roman"/>
                <w:sz w:val="24"/>
                <w:szCs w:val="24"/>
              </w:rPr>
              <w:t xml:space="preserve"> meter</w:t>
            </w:r>
          </w:p>
        </w:tc>
        <w:tc>
          <w:tcPr>
            <w:tcW w:w="1870" w:type="dxa"/>
          </w:tcPr>
          <w:p w14:paraId="4E051831"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$175.37</w:t>
            </w:r>
          </w:p>
        </w:tc>
        <w:tc>
          <w:tcPr>
            <w:tcW w:w="1870" w:type="dxa"/>
          </w:tcPr>
          <w:p w14:paraId="347DF687"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$227.98</w:t>
            </w:r>
          </w:p>
        </w:tc>
        <w:tc>
          <w:tcPr>
            <w:tcW w:w="1870" w:type="dxa"/>
          </w:tcPr>
          <w:p w14:paraId="5F677401"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$194.66</w:t>
            </w:r>
          </w:p>
        </w:tc>
        <w:tc>
          <w:tcPr>
            <w:tcW w:w="1870" w:type="dxa"/>
          </w:tcPr>
          <w:p w14:paraId="1EDA37D6"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$253.06</w:t>
            </w:r>
          </w:p>
        </w:tc>
      </w:tr>
      <w:tr w:rsidR="005208AE" w14:paraId="79A4CBED" w14:textId="77777777" w:rsidTr="00A631D7">
        <w:tc>
          <w:tcPr>
            <w:tcW w:w="1870" w:type="dxa"/>
          </w:tcPr>
          <w:p w14:paraId="7EB1BD0D"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6 inch</w:t>
            </w:r>
            <w:proofErr w:type="gramEnd"/>
            <w:r>
              <w:rPr>
                <w:rFonts w:ascii="Times New Roman" w:eastAsiaTheme="minorEastAsia" w:hAnsi="Times New Roman" w:cs="Times New Roman"/>
                <w:sz w:val="24"/>
                <w:szCs w:val="24"/>
              </w:rPr>
              <w:t xml:space="preserve"> meter</w:t>
            </w:r>
          </w:p>
        </w:tc>
        <w:tc>
          <w:tcPr>
            <w:tcW w:w="1870" w:type="dxa"/>
          </w:tcPr>
          <w:p w14:paraId="03AEA5BF"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$274.04</w:t>
            </w:r>
          </w:p>
        </w:tc>
        <w:tc>
          <w:tcPr>
            <w:tcW w:w="1870" w:type="dxa"/>
          </w:tcPr>
          <w:p w14:paraId="5E1933FA"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$356.24</w:t>
            </w:r>
          </w:p>
        </w:tc>
        <w:tc>
          <w:tcPr>
            <w:tcW w:w="1870" w:type="dxa"/>
          </w:tcPr>
          <w:p w14:paraId="07EBE261"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$304.18</w:t>
            </w:r>
          </w:p>
        </w:tc>
        <w:tc>
          <w:tcPr>
            <w:tcW w:w="1870" w:type="dxa"/>
          </w:tcPr>
          <w:p w14:paraId="7F584D92" w14:textId="77777777" w:rsidR="005208AE" w:rsidRDefault="005208AE" w:rsidP="00A631D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$395.43</w:t>
            </w:r>
          </w:p>
        </w:tc>
      </w:tr>
    </w:tbl>
    <w:p w14:paraId="423046E6" w14:textId="77777777" w:rsidR="005208AE" w:rsidRPr="0071389F" w:rsidRDefault="005208AE" w:rsidP="005208AE">
      <w:pPr>
        <w:widowControl w:val="0"/>
        <w:autoSpaceDE w:val="0"/>
        <w:autoSpaceDN w:val="0"/>
        <w:adjustRightInd w:val="0"/>
        <w:spacing w:after="0" w:line="240" w:lineRule="auto"/>
        <w:rPr>
          <w:rFonts w:ascii="Times New Roman" w:eastAsiaTheme="minorEastAsia" w:hAnsi="Times New Roman" w:cs="Times New Roman"/>
          <w:sz w:val="24"/>
          <w:szCs w:val="24"/>
        </w:rPr>
      </w:pPr>
    </w:p>
    <w:p w14:paraId="511CAC83" w14:textId="77777777" w:rsidR="005208AE" w:rsidRPr="0071389F" w:rsidRDefault="005208AE" w:rsidP="005208AE">
      <w:pPr>
        <w:widowControl w:val="0"/>
        <w:autoSpaceDE w:val="0"/>
        <w:autoSpaceDN w:val="0"/>
        <w:adjustRightInd w:val="0"/>
        <w:spacing w:after="0" w:line="240" w:lineRule="auto"/>
        <w:rPr>
          <w:rFonts w:ascii="Times New Roman" w:eastAsiaTheme="minorEastAsia" w:hAnsi="Times New Roman" w:cs="Times New Roman"/>
          <w:sz w:val="24"/>
          <w:szCs w:val="24"/>
        </w:rPr>
      </w:pPr>
      <w:r w:rsidRPr="0071389F">
        <w:rPr>
          <w:rFonts w:ascii="Times New Roman" w:eastAsiaTheme="minorEastAsia" w:hAnsi="Times New Roman" w:cs="Times New Roman"/>
          <w:sz w:val="24"/>
          <w:szCs w:val="24"/>
        </w:rPr>
        <w:tab/>
      </w:r>
      <w:r w:rsidRPr="0071389F">
        <w:rPr>
          <w:rFonts w:ascii="Times New Roman" w:eastAsiaTheme="minorEastAsia" w:hAnsi="Times New Roman" w:cs="Times New Roman"/>
          <w:sz w:val="24"/>
          <w:szCs w:val="24"/>
        </w:rPr>
        <w:tab/>
        <w:t>*Outside:  Where hydrants are available.</w:t>
      </w:r>
    </w:p>
    <w:p w14:paraId="5412F7F4" w14:textId="77777777" w:rsidR="005208AE" w:rsidRPr="0071389F" w:rsidRDefault="005208AE" w:rsidP="005208AE">
      <w:pPr>
        <w:widowControl w:val="0"/>
        <w:autoSpaceDE w:val="0"/>
        <w:autoSpaceDN w:val="0"/>
        <w:adjustRightInd w:val="0"/>
        <w:spacing w:after="0" w:line="240" w:lineRule="auto"/>
        <w:rPr>
          <w:rFonts w:ascii="Times New Roman" w:eastAsiaTheme="minorEastAsia" w:hAnsi="Times New Roman" w:cs="Times New Roman"/>
          <w:sz w:val="24"/>
          <w:szCs w:val="24"/>
        </w:rPr>
      </w:pPr>
    </w:p>
    <w:p w14:paraId="76BF27B9" w14:textId="77777777" w:rsidR="005208AE" w:rsidRPr="0071389F" w:rsidRDefault="005208AE" w:rsidP="00520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5" w:lineRule="auto"/>
        <w:ind w:firstLine="720"/>
        <w:rPr>
          <w:rFonts w:ascii="Times New Roman" w:eastAsiaTheme="minorEastAsia" w:hAnsi="Times New Roman" w:cs="Times New Roman"/>
          <w:sz w:val="24"/>
          <w:szCs w:val="24"/>
        </w:rPr>
      </w:pPr>
      <w:r w:rsidRPr="0071389F">
        <w:rPr>
          <w:rFonts w:ascii="Times New Roman" w:eastAsiaTheme="minorEastAsia" w:hAnsi="Times New Roman" w:cs="Times New Roman"/>
          <w:b/>
          <w:bCs/>
          <w:sz w:val="24"/>
          <w:szCs w:val="24"/>
          <w:u w:val="single"/>
        </w:rPr>
        <w:t>Section 3</w:t>
      </w:r>
      <w:r w:rsidRPr="0071389F">
        <w:rPr>
          <w:rFonts w:ascii="Times New Roman" w:eastAsiaTheme="minorEastAsia" w:hAnsi="Times New Roman" w:cs="Times New Roman"/>
          <w:b/>
          <w:bCs/>
          <w:sz w:val="24"/>
          <w:szCs w:val="24"/>
        </w:rPr>
        <w:t xml:space="preserve">. </w:t>
      </w:r>
      <w:r w:rsidRPr="0071389F">
        <w:rPr>
          <w:rFonts w:ascii="Times New Roman" w:eastAsiaTheme="minorEastAsia" w:hAnsi="Times New Roman" w:cs="Times New Roman"/>
          <w:sz w:val="24"/>
          <w:szCs w:val="24"/>
        </w:rPr>
        <w:t xml:space="preserve">        Section 53.002(B) of the Decatur Code of Ordinances of 2015, as supplemented, is hereby amended to read as follows:</w:t>
      </w:r>
    </w:p>
    <w:p w14:paraId="1E63ED7A" w14:textId="77777777" w:rsidR="005208AE" w:rsidRPr="0071389F" w:rsidRDefault="005208AE" w:rsidP="00520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4" w:lineRule="auto"/>
        <w:ind w:left="7200" w:hanging="5760"/>
        <w:rPr>
          <w:rFonts w:ascii="Times New Roman" w:eastAsiaTheme="minorEastAsia" w:hAnsi="Times New Roman" w:cs="Times New Roman"/>
          <w:sz w:val="24"/>
          <w:szCs w:val="24"/>
        </w:rPr>
      </w:pPr>
    </w:p>
    <w:p w14:paraId="7A9A322A" w14:textId="77777777" w:rsidR="005208AE" w:rsidRPr="0071389F" w:rsidRDefault="005208AE" w:rsidP="005208AE">
      <w:pPr>
        <w:widowControl w:val="0"/>
        <w:numPr>
          <w:ilvl w:val="0"/>
          <w:numId w:val="3"/>
        </w:numPr>
        <w:autoSpaceDE w:val="0"/>
        <w:autoSpaceDN w:val="0"/>
        <w:adjustRightInd w:val="0"/>
        <w:spacing w:after="200" w:line="276" w:lineRule="auto"/>
        <w:contextualSpacing/>
        <w:rPr>
          <w:rFonts w:ascii="Times New Roman" w:hAnsi="Times New Roman" w:cs="Times New Roman"/>
          <w:sz w:val="24"/>
          <w:szCs w:val="24"/>
        </w:rPr>
      </w:pPr>
      <w:r w:rsidRPr="0071389F">
        <w:rPr>
          <w:rFonts w:ascii="Times New Roman" w:hAnsi="Times New Roman" w:cs="Times New Roman"/>
          <w:sz w:val="24"/>
          <w:szCs w:val="24"/>
        </w:rPr>
        <w:t>Fire hydrants: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Phase I</w:t>
      </w:r>
      <w:r>
        <w:rPr>
          <w:rFonts w:ascii="Times New Roman" w:hAnsi="Times New Roman" w:cs="Times New Roman"/>
          <w:sz w:val="24"/>
          <w:szCs w:val="24"/>
        </w:rPr>
        <w:tab/>
      </w:r>
      <w:r>
        <w:rPr>
          <w:rFonts w:ascii="Times New Roman" w:hAnsi="Times New Roman" w:cs="Times New Roman"/>
          <w:sz w:val="24"/>
          <w:szCs w:val="24"/>
        </w:rPr>
        <w:tab/>
        <w:t>Phase II</w:t>
      </w:r>
    </w:p>
    <w:p w14:paraId="08837517" w14:textId="77777777" w:rsidR="005208AE" w:rsidRPr="0071389F" w:rsidRDefault="005208AE" w:rsidP="005208AE">
      <w:pPr>
        <w:widowControl w:val="0"/>
        <w:autoSpaceDE w:val="0"/>
        <w:autoSpaceDN w:val="0"/>
        <w:adjustRightInd w:val="0"/>
        <w:spacing w:after="0" w:line="240" w:lineRule="auto"/>
        <w:ind w:left="1440"/>
        <w:rPr>
          <w:rFonts w:ascii="Times New Roman" w:eastAsiaTheme="minorEastAsia" w:hAnsi="Times New Roman" w:cs="Times New Roman"/>
          <w:i/>
          <w:sz w:val="24"/>
          <w:szCs w:val="24"/>
        </w:rPr>
      </w:pPr>
      <w:r w:rsidRPr="0071389F">
        <w:rPr>
          <w:rFonts w:ascii="Times New Roman" w:eastAsiaTheme="minorEastAsia" w:hAnsi="Times New Roman" w:cs="Times New Roman"/>
          <w:sz w:val="24"/>
          <w:szCs w:val="24"/>
        </w:rPr>
        <w:t>(1)  City</w:t>
      </w:r>
      <w:r w:rsidRPr="0071389F">
        <w:rPr>
          <w:rFonts w:ascii="Times New Roman" w:eastAsiaTheme="minorEastAsia" w:hAnsi="Times New Roman" w:cs="Times New Roman"/>
          <w:sz w:val="24"/>
          <w:szCs w:val="24"/>
        </w:rPr>
        <w:tab/>
      </w:r>
      <w:r w:rsidRPr="0071389F">
        <w:rPr>
          <w:rFonts w:ascii="Times New Roman" w:eastAsiaTheme="minorEastAsia" w:hAnsi="Times New Roman" w:cs="Times New Roman"/>
          <w:sz w:val="24"/>
          <w:szCs w:val="24"/>
        </w:rPr>
        <w:tab/>
      </w:r>
      <w:r w:rsidRPr="0071389F">
        <w:rPr>
          <w:rFonts w:ascii="Times New Roman" w:eastAsiaTheme="minorEastAsia" w:hAnsi="Times New Roman" w:cs="Times New Roman"/>
          <w:sz w:val="24"/>
          <w:szCs w:val="24"/>
        </w:rPr>
        <w:tab/>
      </w:r>
      <w:r w:rsidRPr="0071389F">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0.00</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$0.00</w:t>
      </w:r>
    </w:p>
    <w:p w14:paraId="362FA256" w14:textId="77777777" w:rsidR="005208AE" w:rsidRPr="00E7405A" w:rsidRDefault="005208AE" w:rsidP="005208AE">
      <w:pPr>
        <w:pStyle w:val="ListParagraph"/>
        <w:widowControl w:val="0"/>
        <w:numPr>
          <w:ilvl w:val="0"/>
          <w:numId w:val="2"/>
        </w:numPr>
        <w:autoSpaceDE w:val="0"/>
        <w:autoSpaceDN w:val="0"/>
        <w:adjustRightInd w:val="0"/>
        <w:spacing w:after="0" w:line="275" w:lineRule="auto"/>
        <w:rPr>
          <w:rFonts w:ascii="Times New Roman" w:eastAsiaTheme="minorEastAsia" w:hAnsi="Times New Roman" w:cs="Times New Roman"/>
          <w:sz w:val="24"/>
          <w:szCs w:val="24"/>
        </w:rPr>
      </w:pPr>
      <w:r w:rsidRPr="00E7405A">
        <w:rPr>
          <w:rFonts w:ascii="Times New Roman" w:hAnsi="Times New Roman" w:cs="Times New Roman"/>
          <w:sz w:val="24"/>
          <w:szCs w:val="24"/>
        </w:rPr>
        <w:t>All other entities (Per Annum)</w:t>
      </w:r>
      <w:r w:rsidRPr="00E7405A">
        <w:rPr>
          <w:rFonts w:ascii="Times New Roman" w:hAnsi="Times New Roman" w:cs="Times New Roman"/>
          <w:sz w:val="24"/>
          <w:szCs w:val="24"/>
        </w:rPr>
        <w:tab/>
        <w:t>$942.72           $1,055.85</w:t>
      </w:r>
    </w:p>
    <w:p w14:paraId="5C7392CF" w14:textId="77777777" w:rsidR="005208AE" w:rsidRPr="0071389F" w:rsidRDefault="005208AE" w:rsidP="00520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5" w:lineRule="auto"/>
        <w:ind w:firstLine="720"/>
        <w:rPr>
          <w:rFonts w:ascii="Times New Roman" w:eastAsiaTheme="minorEastAsia" w:hAnsi="Times New Roman" w:cs="Times New Roman"/>
          <w:b/>
          <w:bCs/>
          <w:sz w:val="24"/>
          <w:szCs w:val="24"/>
          <w:u w:val="single"/>
        </w:rPr>
      </w:pPr>
    </w:p>
    <w:p w14:paraId="58D3F9AC" w14:textId="77777777" w:rsidR="005208AE" w:rsidRPr="0071389F" w:rsidRDefault="005208AE" w:rsidP="00520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5" w:lineRule="auto"/>
        <w:ind w:firstLine="720"/>
        <w:rPr>
          <w:rFonts w:ascii="Times New Roman" w:eastAsiaTheme="minorEastAsia" w:hAnsi="Times New Roman" w:cs="Times New Roman"/>
          <w:b/>
          <w:bCs/>
          <w:sz w:val="24"/>
          <w:szCs w:val="24"/>
          <w:u w:val="single"/>
        </w:rPr>
      </w:pPr>
      <w:r w:rsidRPr="0071389F">
        <w:rPr>
          <w:rFonts w:ascii="Times New Roman" w:eastAsiaTheme="minorEastAsia" w:hAnsi="Times New Roman" w:cs="Times New Roman"/>
          <w:b/>
          <w:bCs/>
          <w:sz w:val="24"/>
          <w:szCs w:val="24"/>
          <w:u w:val="single"/>
        </w:rPr>
        <w:t>Section 4</w:t>
      </w:r>
      <w:r w:rsidRPr="0071389F">
        <w:rPr>
          <w:rFonts w:ascii="Times New Roman" w:eastAsiaTheme="minorEastAsia" w:hAnsi="Times New Roman" w:cs="Times New Roman"/>
          <w:b/>
          <w:bCs/>
          <w:sz w:val="24"/>
          <w:szCs w:val="24"/>
        </w:rPr>
        <w:t>.</w:t>
      </w:r>
      <w:r w:rsidRPr="0071389F">
        <w:rPr>
          <w:rFonts w:ascii="Times New Roman" w:eastAsiaTheme="minorEastAsia" w:hAnsi="Times New Roman" w:cs="Times New Roman"/>
          <w:b/>
          <w:bCs/>
          <w:sz w:val="24"/>
          <w:szCs w:val="24"/>
        </w:rPr>
        <w:tab/>
      </w:r>
      <w:r w:rsidRPr="0071389F">
        <w:rPr>
          <w:rFonts w:ascii="Times New Roman" w:eastAsiaTheme="minorEastAsia" w:hAnsi="Times New Roman" w:cs="Times New Roman"/>
          <w:sz w:val="24"/>
          <w:szCs w:val="24"/>
        </w:rPr>
        <w:t>Section 53.002 (C) of the Decatur Code of Ordinances of 2015, as supplemented, is hereby amended to read as follows:</w:t>
      </w:r>
    </w:p>
    <w:p w14:paraId="571E1998" w14:textId="77777777" w:rsidR="005208AE" w:rsidRPr="0071389F" w:rsidRDefault="005208AE" w:rsidP="00520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5" w:lineRule="auto"/>
        <w:rPr>
          <w:rFonts w:ascii="Times New Roman" w:eastAsiaTheme="minorEastAsia" w:hAnsi="Times New Roman" w:cs="Times New Roman"/>
          <w:b/>
          <w:bCs/>
          <w:sz w:val="24"/>
          <w:szCs w:val="24"/>
          <w:u w:val="single"/>
        </w:rPr>
      </w:pPr>
    </w:p>
    <w:p w14:paraId="38C8BB74" w14:textId="77777777" w:rsidR="005208AE" w:rsidRPr="0071389F" w:rsidRDefault="005208AE" w:rsidP="005208AE">
      <w:pPr>
        <w:widowControl w:val="0"/>
        <w:autoSpaceDE w:val="0"/>
        <w:autoSpaceDN w:val="0"/>
        <w:adjustRightInd w:val="0"/>
        <w:spacing w:after="0" w:line="240" w:lineRule="auto"/>
        <w:ind w:firstLine="720"/>
        <w:rPr>
          <w:rFonts w:ascii="Times New Roman" w:hAnsi="Times New Roman" w:cs="Times New Roman"/>
          <w:sz w:val="24"/>
          <w:szCs w:val="24"/>
        </w:rPr>
      </w:pPr>
      <w:r w:rsidRPr="0071389F">
        <w:rPr>
          <w:rFonts w:ascii="Times New Roman" w:eastAsiaTheme="minorEastAsia" w:hAnsi="Times New Roman" w:cs="Times New Roman"/>
          <w:sz w:val="24"/>
          <w:szCs w:val="24"/>
        </w:rPr>
        <w:t>(C)</w:t>
      </w:r>
      <w:r w:rsidRPr="0071389F">
        <w:rPr>
          <w:rFonts w:ascii="Times New Roman" w:eastAsiaTheme="minorEastAsia" w:hAnsi="Times New Roman" w:cs="Times New Roman"/>
          <w:sz w:val="24"/>
          <w:szCs w:val="24"/>
        </w:rPr>
        <w:tab/>
        <w:t>Monthly Fire Protection (Per Equivalent User)</w:t>
      </w:r>
    </w:p>
    <w:p w14:paraId="07CC25D0" w14:textId="77777777" w:rsidR="005208AE" w:rsidRPr="0071389F" w:rsidRDefault="005208AE" w:rsidP="005208AE">
      <w:pPr>
        <w:spacing w:after="200" w:line="276" w:lineRule="auto"/>
        <w:ind w:left="1440"/>
        <w:contextualSpacing/>
        <w:rPr>
          <w:rFonts w:ascii="Times New Roman" w:hAnsi="Times New Roman" w:cs="Times New Roman"/>
          <w:sz w:val="24"/>
          <w:szCs w:val="24"/>
        </w:rPr>
      </w:pPr>
      <w:r w:rsidRPr="0071389F">
        <w:rPr>
          <w:rFonts w:ascii="Times New Roman" w:hAnsi="Times New Roman" w:cs="Times New Roman"/>
          <w:sz w:val="24"/>
          <w:szCs w:val="24"/>
        </w:rPr>
        <w:t>Each user shall pay a minimum charge in accordance with the following applicable size meter installed, for which the user will be entitled to fire protection</w:t>
      </w:r>
    </w:p>
    <w:p w14:paraId="3DD359C8" w14:textId="77777777" w:rsidR="005208AE" w:rsidRPr="0071389F" w:rsidRDefault="005208AE" w:rsidP="005208AE">
      <w:pPr>
        <w:spacing w:after="200" w:line="276" w:lineRule="auto"/>
        <w:ind w:left="1800"/>
        <w:contextualSpacing/>
        <w:rPr>
          <w:rFonts w:ascii="Times New Roman" w:hAnsi="Times New Roman" w:cs="Times New Roman"/>
          <w:sz w:val="24"/>
          <w:szCs w:val="24"/>
          <w:u w:val="single"/>
        </w:rPr>
      </w:pPr>
      <w:r w:rsidRPr="0071389F">
        <w:rPr>
          <w:rFonts w:ascii="Times New Roman" w:hAnsi="Times New Roman" w:cs="Times New Roman"/>
          <w:sz w:val="24"/>
          <w:szCs w:val="24"/>
          <w:u w:val="single"/>
        </w:rPr>
        <w:t>Size of Meter</w:t>
      </w:r>
      <w:r>
        <w:rPr>
          <w:rFonts w:ascii="Times New Roman" w:hAnsi="Times New Roman" w:cs="Times New Roman"/>
          <w:sz w:val="24"/>
          <w:szCs w:val="24"/>
          <w:u w:val="single"/>
        </w:rPr>
        <w:tab/>
        <w:t>Phase I</w:t>
      </w:r>
      <w:r>
        <w:rPr>
          <w:rFonts w:ascii="Times New Roman" w:hAnsi="Times New Roman" w:cs="Times New Roman"/>
          <w:sz w:val="24"/>
          <w:szCs w:val="24"/>
          <w:u w:val="single"/>
        </w:rPr>
        <w:tab/>
      </w:r>
      <w:r>
        <w:rPr>
          <w:rFonts w:ascii="Times New Roman" w:hAnsi="Times New Roman" w:cs="Times New Roman"/>
          <w:sz w:val="24"/>
          <w:szCs w:val="24"/>
          <w:u w:val="single"/>
        </w:rPr>
        <w:tab/>
        <w:t>Phase II</w:t>
      </w:r>
    </w:p>
    <w:p w14:paraId="7028107D" w14:textId="77777777" w:rsidR="005208AE" w:rsidRPr="0071389F" w:rsidRDefault="005208AE" w:rsidP="005208AE">
      <w:pPr>
        <w:spacing w:after="200" w:line="276" w:lineRule="auto"/>
        <w:ind w:left="1800"/>
        <w:contextualSpacing/>
        <w:rPr>
          <w:rFonts w:ascii="Times New Roman" w:hAnsi="Times New Roman" w:cs="Times New Roman"/>
          <w:sz w:val="24"/>
          <w:szCs w:val="24"/>
        </w:rPr>
      </w:pPr>
      <w:r w:rsidRPr="0071389F">
        <w:rPr>
          <w:rFonts w:ascii="Times New Roman" w:hAnsi="Times New Roman" w:cs="Times New Roman"/>
          <w:sz w:val="24"/>
          <w:szCs w:val="24"/>
        </w:rPr>
        <w:t>5/8</w:t>
      </w:r>
      <w:r w:rsidRPr="0071389F">
        <w:rPr>
          <w:rFonts w:ascii="Times New Roman" w:hAnsi="Times New Roman" w:cs="Times New Roman"/>
          <w:sz w:val="24"/>
          <w:szCs w:val="24"/>
        </w:rPr>
        <w:tab/>
        <w:t>inch</w:t>
      </w:r>
      <w:r w:rsidRPr="0071389F">
        <w:rPr>
          <w:rFonts w:ascii="Times New Roman" w:hAnsi="Times New Roman" w:cs="Times New Roman"/>
          <w:sz w:val="24"/>
          <w:szCs w:val="24"/>
        </w:rPr>
        <w:tab/>
      </w:r>
      <w:r w:rsidRPr="0071389F">
        <w:rPr>
          <w:rFonts w:ascii="Times New Roman" w:hAnsi="Times New Roman" w:cs="Times New Roman"/>
          <w:sz w:val="24"/>
          <w:szCs w:val="24"/>
        </w:rPr>
        <w:tab/>
        <w:t>$</w:t>
      </w:r>
      <w:r>
        <w:rPr>
          <w:rFonts w:ascii="Times New Roman" w:hAnsi="Times New Roman" w:cs="Times New Roman"/>
          <w:sz w:val="24"/>
          <w:szCs w:val="24"/>
        </w:rPr>
        <w:t>5.</w:t>
      </w:r>
      <w:proofErr w:type="gramStart"/>
      <w:r>
        <w:rPr>
          <w:rFonts w:ascii="Times New Roman" w:hAnsi="Times New Roman" w:cs="Times New Roman"/>
          <w:sz w:val="24"/>
          <w:szCs w:val="24"/>
        </w:rPr>
        <w:t>18</w:t>
      </w:r>
      <w:r w:rsidRPr="0071389F">
        <w:rPr>
          <w:rFonts w:ascii="Times New Roman" w:hAnsi="Times New Roman" w:cs="Times New Roman"/>
          <w:sz w:val="24"/>
          <w:szCs w:val="24"/>
        </w:rPr>
        <w:t xml:space="preserve">  </w:t>
      </w:r>
      <w:r>
        <w:rPr>
          <w:rFonts w:ascii="Times New Roman" w:hAnsi="Times New Roman" w:cs="Times New Roman"/>
          <w:sz w:val="24"/>
          <w:szCs w:val="24"/>
        </w:rPr>
        <w:tab/>
      </w:r>
      <w:proofErr w:type="gramEnd"/>
      <w:r>
        <w:rPr>
          <w:rFonts w:ascii="Times New Roman" w:hAnsi="Times New Roman" w:cs="Times New Roman"/>
          <w:sz w:val="24"/>
          <w:szCs w:val="24"/>
        </w:rPr>
        <w:tab/>
        <w:t>$5.80</w:t>
      </w:r>
    </w:p>
    <w:p w14:paraId="4C0D8C83" w14:textId="77777777" w:rsidR="005208AE" w:rsidRPr="0071389F" w:rsidRDefault="005208AE" w:rsidP="005208AE">
      <w:pPr>
        <w:spacing w:after="200" w:line="276" w:lineRule="auto"/>
        <w:ind w:left="1800"/>
        <w:contextualSpacing/>
        <w:rPr>
          <w:rFonts w:ascii="Times New Roman" w:hAnsi="Times New Roman" w:cs="Times New Roman"/>
          <w:sz w:val="24"/>
          <w:szCs w:val="24"/>
        </w:rPr>
      </w:pPr>
      <w:r w:rsidRPr="0071389F">
        <w:rPr>
          <w:rFonts w:ascii="Times New Roman" w:hAnsi="Times New Roman" w:cs="Times New Roman"/>
          <w:sz w:val="24"/>
          <w:szCs w:val="24"/>
        </w:rPr>
        <w:t>3/4</w:t>
      </w:r>
      <w:r w:rsidRPr="0071389F">
        <w:rPr>
          <w:rFonts w:ascii="Times New Roman" w:hAnsi="Times New Roman" w:cs="Times New Roman"/>
          <w:sz w:val="24"/>
          <w:szCs w:val="24"/>
        </w:rPr>
        <w:tab/>
        <w:t>inch</w:t>
      </w:r>
      <w:r w:rsidRPr="0071389F">
        <w:rPr>
          <w:rFonts w:ascii="Times New Roman" w:hAnsi="Times New Roman" w:cs="Times New Roman"/>
          <w:sz w:val="24"/>
          <w:szCs w:val="24"/>
        </w:rPr>
        <w:tab/>
      </w:r>
      <w:r w:rsidRPr="0071389F">
        <w:rPr>
          <w:rFonts w:ascii="Times New Roman" w:hAnsi="Times New Roman" w:cs="Times New Roman"/>
          <w:sz w:val="24"/>
          <w:szCs w:val="24"/>
        </w:rPr>
        <w:tab/>
        <w:t>$</w:t>
      </w:r>
      <w:r>
        <w:rPr>
          <w:rFonts w:ascii="Times New Roman" w:hAnsi="Times New Roman" w:cs="Times New Roman"/>
          <w:sz w:val="24"/>
          <w:szCs w:val="24"/>
        </w:rPr>
        <w:t>5.18</w:t>
      </w:r>
      <w:r w:rsidRPr="0071389F">
        <w:rPr>
          <w:rFonts w:ascii="Times New Roman" w:hAnsi="Times New Roman" w:cs="Times New Roman"/>
          <w:sz w:val="24"/>
          <w:szCs w:val="24"/>
        </w:rPr>
        <w:t xml:space="preserve">   </w:t>
      </w:r>
      <w:r>
        <w:rPr>
          <w:rFonts w:ascii="Times New Roman" w:hAnsi="Times New Roman" w:cs="Times New Roman"/>
          <w:sz w:val="24"/>
          <w:szCs w:val="24"/>
        </w:rPr>
        <w:tab/>
        <w:t>$5.80</w:t>
      </w:r>
    </w:p>
    <w:p w14:paraId="3ED4563B" w14:textId="77777777" w:rsidR="005208AE" w:rsidRPr="0071389F" w:rsidRDefault="005208AE" w:rsidP="005208AE">
      <w:pPr>
        <w:spacing w:after="200" w:line="276" w:lineRule="auto"/>
        <w:ind w:left="1800"/>
        <w:contextualSpacing/>
        <w:rPr>
          <w:rFonts w:ascii="Times New Roman" w:hAnsi="Times New Roman" w:cs="Times New Roman"/>
          <w:sz w:val="24"/>
          <w:szCs w:val="24"/>
        </w:rPr>
      </w:pPr>
      <w:r w:rsidRPr="0071389F">
        <w:rPr>
          <w:rFonts w:ascii="Times New Roman" w:hAnsi="Times New Roman" w:cs="Times New Roman"/>
          <w:sz w:val="24"/>
          <w:szCs w:val="24"/>
        </w:rPr>
        <w:t>1 inch</w:t>
      </w:r>
      <w:r w:rsidRPr="0071389F">
        <w:rPr>
          <w:rFonts w:ascii="Times New Roman" w:hAnsi="Times New Roman" w:cs="Times New Roman"/>
          <w:sz w:val="24"/>
          <w:szCs w:val="24"/>
        </w:rPr>
        <w:tab/>
      </w:r>
      <w:r w:rsidRPr="0071389F">
        <w:rPr>
          <w:rFonts w:ascii="Times New Roman" w:hAnsi="Times New Roman" w:cs="Times New Roman"/>
          <w:sz w:val="24"/>
          <w:szCs w:val="24"/>
        </w:rPr>
        <w:tab/>
        <w:t>$</w:t>
      </w:r>
      <w:r>
        <w:rPr>
          <w:rFonts w:ascii="Times New Roman" w:hAnsi="Times New Roman" w:cs="Times New Roman"/>
          <w:sz w:val="24"/>
          <w:szCs w:val="24"/>
        </w:rPr>
        <w:t>10.36</w:t>
      </w:r>
      <w:r w:rsidRPr="0071389F">
        <w:rPr>
          <w:rFonts w:ascii="Times New Roman" w:hAnsi="Times New Roman" w:cs="Times New Roman"/>
          <w:sz w:val="24"/>
          <w:szCs w:val="24"/>
        </w:rPr>
        <w:t xml:space="preserve">   </w:t>
      </w:r>
      <w:r>
        <w:rPr>
          <w:rFonts w:ascii="Times New Roman" w:hAnsi="Times New Roman" w:cs="Times New Roman"/>
          <w:sz w:val="24"/>
          <w:szCs w:val="24"/>
        </w:rPr>
        <w:tab/>
        <w:t>$11.60</w:t>
      </w:r>
    </w:p>
    <w:p w14:paraId="72FCEAB3" w14:textId="77777777" w:rsidR="005208AE" w:rsidRPr="0071389F" w:rsidRDefault="005208AE" w:rsidP="005208AE">
      <w:pPr>
        <w:spacing w:after="200" w:line="276" w:lineRule="auto"/>
        <w:ind w:left="1800"/>
        <w:contextualSpacing/>
        <w:rPr>
          <w:rFonts w:ascii="Times New Roman" w:hAnsi="Times New Roman" w:cs="Times New Roman"/>
          <w:sz w:val="24"/>
          <w:szCs w:val="24"/>
        </w:rPr>
      </w:pPr>
      <w:r w:rsidRPr="0071389F">
        <w:rPr>
          <w:rFonts w:ascii="Times New Roman" w:hAnsi="Times New Roman" w:cs="Times New Roman"/>
          <w:sz w:val="24"/>
          <w:szCs w:val="24"/>
        </w:rPr>
        <w:t>1 ¼ inch</w:t>
      </w:r>
      <w:r w:rsidRPr="0071389F">
        <w:rPr>
          <w:rFonts w:ascii="Times New Roman" w:hAnsi="Times New Roman" w:cs="Times New Roman"/>
          <w:sz w:val="24"/>
          <w:szCs w:val="24"/>
        </w:rPr>
        <w:tab/>
      </w:r>
      <w:r w:rsidRPr="0071389F">
        <w:rPr>
          <w:rFonts w:ascii="Times New Roman" w:hAnsi="Times New Roman" w:cs="Times New Roman"/>
          <w:sz w:val="24"/>
          <w:szCs w:val="24"/>
        </w:rPr>
        <w:tab/>
        <w:t>$</w:t>
      </w:r>
      <w:r>
        <w:rPr>
          <w:rFonts w:ascii="Times New Roman" w:hAnsi="Times New Roman" w:cs="Times New Roman"/>
          <w:sz w:val="24"/>
          <w:szCs w:val="24"/>
        </w:rPr>
        <w:t>15.54</w:t>
      </w:r>
      <w:r w:rsidRPr="0071389F">
        <w:rPr>
          <w:rFonts w:ascii="Times New Roman" w:hAnsi="Times New Roman" w:cs="Times New Roman"/>
          <w:sz w:val="24"/>
          <w:szCs w:val="24"/>
        </w:rPr>
        <w:t xml:space="preserve"> </w:t>
      </w:r>
      <w:r>
        <w:rPr>
          <w:rFonts w:ascii="Times New Roman" w:hAnsi="Times New Roman" w:cs="Times New Roman"/>
          <w:sz w:val="24"/>
          <w:szCs w:val="24"/>
        </w:rPr>
        <w:tab/>
        <w:t>$17.40</w:t>
      </w:r>
    </w:p>
    <w:p w14:paraId="6BC4C9FD" w14:textId="77777777" w:rsidR="005208AE" w:rsidRPr="0071389F" w:rsidRDefault="005208AE" w:rsidP="005208AE">
      <w:pPr>
        <w:spacing w:after="200" w:line="276" w:lineRule="auto"/>
        <w:ind w:left="1800"/>
        <w:contextualSpacing/>
        <w:rPr>
          <w:rFonts w:ascii="Times New Roman" w:hAnsi="Times New Roman" w:cs="Times New Roman"/>
          <w:sz w:val="24"/>
          <w:szCs w:val="24"/>
        </w:rPr>
      </w:pPr>
      <w:r w:rsidRPr="0071389F">
        <w:rPr>
          <w:rFonts w:ascii="Times New Roman" w:hAnsi="Times New Roman" w:cs="Times New Roman"/>
          <w:sz w:val="24"/>
          <w:szCs w:val="24"/>
        </w:rPr>
        <w:t>1 ½ inch</w:t>
      </w:r>
      <w:r w:rsidRPr="0071389F">
        <w:rPr>
          <w:rFonts w:ascii="Times New Roman" w:hAnsi="Times New Roman" w:cs="Times New Roman"/>
          <w:sz w:val="24"/>
          <w:szCs w:val="24"/>
        </w:rPr>
        <w:tab/>
      </w:r>
      <w:r w:rsidRPr="0071389F">
        <w:rPr>
          <w:rFonts w:ascii="Times New Roman" w:hAnsi="Times New Roman" w:cs="Times New Roman"/>
          <w:sz w:val="24"/>
          <w:szCs w:val="24"/>
        </w:rPr>
        <w:tab/>
        <w:t>$</w:t>
      </w:r>
      <w:r>
        <w:rPr>
          <w:rFonts w:ascii="Times New Roman" w:hAnsi="Times New Roman" w:cs="Times New Roman"/>
          <w:sz w:val="24"/>
          <w:szCs w:val="24"/>
        </w:rPr>
        <w:t>20.71</w:t>
      </w:r>
      <w:r>
        <w:rPr>
          <w:rFonts w:ascii="Times New Roman" w:hAnsi="Times New Roman" w:cs="Times New Roman"/>
          <w:sz w:val="24"/>
          <w:szCs w:val="24"/>
        </w:rPr>
        <w:tab/>
      </w:r>
      <w:r>
        <w:rPr>
          <w:rFonts w:ascii="Times New Roman" w:hAnsi="Times New Roman" w:cs="Times New Roman"/>
          <w:sz w:val="24"/>
          <w:szCs w:val="24"/>
        </w:rPr>
        <w:tab/>
        <w:t>$23.20</w:t>
      </w:r>
    </w:p>
    <w:p w14:paraId="7785DD94" w14:textId="77777777" w:rsidR="005208AE" w:rsidRPr="0071389F" w:rsidRDefault="005208AE" w:rsidP="005208AE">
      <w:pPr>
        <w:spacing w:after="200" w:line="276" w:lineRule="auto"/>
        <w:ind w:left="1800"/>
        <w:contextualSpacing/>
        <w:rPr>
          <w:rFonts w:ascii="Times New Roman" w:hAnsi="Times New Roman" w:cs="Times New Roman"/>
          <w:sz w:val="24"/>
          <w:szCs w:val="24"/>
        </w:rPr>
      </w:pPr>
      <w:r w:rsidRPr="0071389F">
        <w:rPr>
          <w:rFonts w:ascii="Times New Roman" w:hAnsi="Times New Roman" w:cs="Times New Roman"/>
          <w:sz w:val="24"/>
          <w:szCs w:val="24"/>
        </w:rPr>
        <w:t>2 inch</w:t>
      </w:r>
      <w:r w:rsidRPr="0071389F">
        <w:rPr>
          <w:rFonts w:ascii="Times New Roman" w:hAnsi="Times New Roman" w:cs="Times New Roman"/>
          <w:sz w:val="24"/>
          <w:szCs w:val="24"/>
        </w:rPr>
        <w:tab/>
      </w:r>
      <w:r w:rsidRPr="0071389F">
        <w:rPr>
          <w:rFonts w:ascii="Times New Roman" w:hAnsi="Times New Roman" w:cs="Times New Roman"/>
          <w:sz w:val="24"/>
          <w:szCs w:val="24"/>
        </w:rPr>
        <w:tab/>
        <w:t>$</w:t>
      </w:r>
      <w:r>
        <w:rPr>
          <w:rFonts w:ascii="Times New Roman" w:hAnsi="Times New Roman" w:cs="Times New Roman"/>
          <w:sz w:val="24"/>
          <w:szCs w:val="24"/>
        </w:rPr>
        <w:t>33.65</w:t>
      </w:r>
      <w:r w:rsidRPr="0071389F">
        <w:rPr>
          <w:rFonts w:ascii="Times New Roman" w:hAnsi="Times New Roman" w:cs="Times New Roman"/>
          <w:sz w:val="24"/>
          <w:szCs w:val="24"/>
        </w:rPr>
        <w:t xml:space="preserve"> </w:t>
      </w:r>
      <w:r>
        <w:rPr>
          <w:rFonts w:ascii="Times New Roman" w:hAnsi="Times New Roman" w:cs="Times New Roman"/>
          <w:sz w:val="24"/>
          <w:szCs w:val="24"/>
        </w:rPr>
        <w:tab/>
        <w:t>$37.69</w:t>
      </w:r>
    </w:p>
    <w:p w14:paraId="65925B8B" w14:textId="77777777" w:rsidR="005208AE" w:rsidRPr="0071389F" w:rsidRDefault="005208AE" w:rsidP="005208AE">
      <w:pPr>
        <w:spacing w:after="200" w:line="276" w:lineRule="auto"/>
        <w:ind w:left="1800"/>
        <w:contextualSpacing/>
        <w:rPr>
          <w:rFonts w:ascii="Times New Roman" w:hAnsi="Times New Roman" w:cs="Times New Roman"/>
          <w:sz w:val="24"/>
          <w:szCs w:val="24"/>
        </w:rPr>
      </w:pPr>
      <w:r w:rsidRPr="0071389F">
        <w:rPr>
          <w:rFonts w:ascii="Times New Roman" w:hAnsi="Times New Roman" w:cs="Times New Roman"/>
          <w:sz w:val="24"/>
          <w:szCs w:val="24"/>
        </w:rPr>
        <w:t>3 inch</w:t>
      </w:r>
      <w:r w:rsidRPr="0071389F">
        <w:rPr>
          <w:rFonts w:ascii="Times New Roman" w:hAnsi="Times New Roman" w:cs="Times New Roman"/>
          <w:sz w:val="24"/>
          <w:szCs w:val="24"/>
        </w:rPr>
        <w:tab/>
      </w:r>
      <w:r w:rsidRPr="0071389F">
        <w:rPr>
          <w:rFonts w:ascii="Times New Roman" w:hAnsi="Times New Roman" w:cs="Times New Roman"/>
          <w:sz w:val="24"/>
          <w:szCs w:val="24"/>
        </w:rPr>
        <w:tab/>
        <w:t>$</w:t>
      </w:r>
      <w:r>
        <w:rPr>
          <w:rFonts w:ascii="Times New Roman" w:hAnsi="Times New Roman" w:cs="Times New Roman"/>
          <w:sz w:val="24"/>
          <w:szCs w:val="24"/>
        </w:rPr>
        <w:t>62.13</w:t>
      </w:r>
      <w:r w:rsidRPr="0071389F">
        <w:rPr>
          <w:rFonts w:ascii="Times New Roman" w:hAnsi="Times New Roman" w:cs="Times New Roman"/>
          <w:sz w:val="24"/>
          <w:szCs w:val="24"/>
        </w:rPr>
        <w:t xml:space="preserve"> </w:t>
      </w:r>
      <w:r>
        <w:rPr>
          <w:rFonts w:ascii="Times New Roman" w:hAnsi="Times New Roman" w:cs="Times New Roman"/>
          <w:sz w:val="24"/>
          <w:szCs w:val="24"/>
        </w:rPr>
        <w:tab/>
        <w:t>$69.59</w:t>
      </w:r>
    </w:p>
    <w:p w14:paraId="3ACEC92D" w14:textId="77777777" w:rsidR="005208AE" w:rsidRPr="0071389F" w:rsidRDefault="005208AE" w:rsidP="005208AE">
      <w:pPr>
        <w:spacing w:after="200" w:line="276" w:lineRule="auto"/>
        <w:ind w:left="1800"/>
        <w:contextualSpacing/>
        <w:rPr>
          <w:rFonts w:ascii="Times New Roman" w:hAnsi="Times New Roman" w:cs="Times New Roman"/>
          <w:sz w:val="24"/>
          <w:szCs w:val="24"/>
        </w:rPr>
      </w:pPr>
      <w:r w:rsidRPr="0071389F">
        <w:rPr>
          <w:rFonts w:ascii="Times New Roman" w:hAnsi="Times New Roman" w:cs="Times New Roman"/>
          <w:sz w:val="24"/>
          <w:szCs w:val="24"/>
        </w:rPr>
        <w:t>4 inch</w:t>
      </w:r>
      <w:r w:rsidRPr="0071389F">
        <w:rPr>
          <w:rFonts w:ascii="Times New Roman" w:hAnsi="Times New Roman" w:cs="Times New Roman"/>
          <w:sz w:val="24"/>
          <w:szCs w:val="24"/>
        </w:rPr>
        <w:tab/>
      </w:r>
      <w:r w:rsidRPr="0071389F">
        <w:rPr>
          <w:rFonts w:ascii="Times New Roman" w:hAnsi="Times New Roman" w:cs="Times New Roman"/>
          <w:sz w:val="24"/>
          <w:szCs w:val="24"/>
        </w:rPr>
        <w:tab/>
        <w:t>$</w:t>
      </w:r>
      <w:r>
        <w:rPr>
          <w:rFonts w:ascii="Times New Roman" w:hAnsi="Times New Roman" w:cs="Times New Roman"/>
          <w:sz w:val="24"/>
          <w:szCs w:val="24"/>
        </w:rPr>
        <w:t>103.56</w:t>
      </w:r>
      <w:r w:rsidRPr="0071389F">
        <w:rPr>
          <w:rFonts w:ascii="Times New Roman" w:hAnsi="Times New Roman" w:cs="Times New Roman"/>
          <w:sz w:val="24"/>
          <w:szCs w:val="24"/>
        </w:rPr>
        <w:t xml:space="preserve"> </w:t>
      </w:r>
      <w:r>
        <w:rPr>
          <w:rFonts w:ascii="Times New Roman" w:hAnsi="Times New Roman" w:cs="Times New Roman"/>
          <w:sz w:val="24"/>
          <w:szCs w:val="24"/>
        </w:rPr>
        <w:tab/>
        <w:t>$115.99</w:t>
      </w:r>
    </w:p>
    <w:p w14:paraId="2A08897B" w14:textId="77777777" w:rsidR="005208AE" w:rsidRPr="0071389F" w:rsidRDefault="005208AE" w:rsidP="005208AE">
      <w:pPr>
        <w:spacing w:after="200" w:line="276" w:lineRule="auto"/>
        <w:ind w:left="1800"/>
        <w:contextualSpacing/>
        <w:rPr>
          <w:rFonts w:ascii="Times New Roman" w:hAnsi="Times New Roman" w:cs="Times New Roman"/>
          <w:b/>
          <w:bCs/>
          <w:sz w:val="24"/>
          <w:szCs w:val="24"/>
          <w:u w:val="single"/>
        </w:rPr>
      </w:pPr>
      <w:r w:rsidRPr="0071389F">
        <w:rPr>
          <w:rFonts w:ascii="Times New Roman" w:hAnsi="Times New Roman" w:cs="Times New Roman"/>
          <w:sz w:val="24"/>
          <w:szCs w:val="24"/>
        </w:rPr>
        <w:t>6 inch</w:t>
      </w:r>
      <w:r w:rsidRPr="0071389F">
        <w:rPr>
          <w:rFonts w:ascii="Times New Roman" w:hAnsi="Times New Roman" w:cs="Times New Roman"/>
          <w:sz w:val="24"/>
          <w:szCs w:val="24"/>
        </w:rPr>
        <w:tab/>
      </w:r>
      <w:r w:rsidRPr="0071389F">
        <w:rPr>
          <w:rFonts w:ascii="Times New Roman" w:hAnsi="Times New Roman" w:cs="Times New Roman"/>
          <w:sz w:val="24"/>
          <w:szCs w:val="24"/>
        </w:rPr>
        <w:tab/>
        <w:t>$</w:t>
      </w:r>
      <w:r>
        <w:rPr>
          <w:rFonts w:ascii="Times New Roman" w:hAnsi="Times New Roman" w:cs="Times New Roman"/>
          <w:sz w:val="24"/>
          <w:szCs w:val="24"/>
        </w:rPr>
        <w:t>201.95</w:t>
      </w:r>
      <w:r>
        <w:rPr>
          <w:rFonts w:ascii="Times New Roman" w:hAnsi="Times New Roman" w:cs="Times New Roman"/>
          <w:sz w:val="24"/>
          <w:szCs w:val="24"/>
        </w:rPr>
        <w:tab/>
        <w:t>$226.18</w:t>
      </w:r>
    </w:p>
    <w:p w14:paraId="248F0E20" w14:textId="77777777" w:rsidR="005208AE" w:rsidRPr="0071389F" w:rsidRDefault="005208AE" w:rsidP="00520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5" w:lineRule="auto"/>
        <w:rPr>
          <w:rFonts w:ascii="Times New Roman" w:eastAsiaTheme="minorEastAsia" w:hAnsi="Times New Roman" w:cs="Times New Roman"/>
          <w:b/>
          <w:bCs/>
          <w:sz w:val="24"/>
          <w:szCs w:val="24"/>
          <w:u w:val="single"/>
        </w:rPr>
      </w:pPr>
    </w:p>
    <w:p w14:paraId="1F1D9E52" w14:textId="77777777" w:rsidR="005208AE" w:rsidRPr="0071389F" w:rsidRDefault="005208AE" w:rsidP="00520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5" w:lineRule="auto"/>
        <w:ind w:firstLine="720"/>
        <w:rPr>
          <w:rFonts w:ascii="Times New Roman" w:eastAsiaTheme="minorEastAsia" w:hAnsi="Times New Roman" w:cs="Times New Roman"/>
          <w:sz w:val="24"/>
          <w:szCs w:val="24"/>
        </w:rPr>
      </w:pPr>
      <w:r w:rsidRPr="0071389F">
        <w:rPr>
          <w:rFonts w:ascii="Times New Roman" w:eastAsiaTheme="minorEastAsia" w:hAnsi="Times New Roman" w:cs="Times New Roman"/>
          <w:b/>
          <w:bCs/>
          <w:sz w:val="24"/>
          <w:szCs w:val="24"/>
          <w:u w:val="single"/>
        </w:rPr>
        <w:t>Section 5</w:t>
      </w:r>
      <w:r w:rsidRPr="0071389F">
        <w:rPr>
          <w:rFonts w:ascii="Times New Roman" w:eastAsiaTheme="minorEastAsia" w:hAnsi="Times New Roman" w:cs="Times New Roman"/>
          <w:sz w:val="24"/>
          <w:szCs w:val="24"/>
        </w:rPr>
        <w:t>.</w:t>
      </w:r>
      <w:r w:rsidRPr="0071389F">
        <w:rPr>
          <w:rFonts w:ascii="Times New Roman" w:eastAsiaTheme="minorEastAsia" w:hAnsi="Times New Roman" w:cs="Times New Roman"/>
          <w:sz w:val="24"/>
          <w:szCs w:val="24"/>
        </w:rPr>
        <w:tab/>
        <w:t>Section 53.002 (D) of the Decatur Code of Ordinances of 2015, as supplemented, is hereby amended to read as follows:</w:t>
      </w:r>
    </w:p>
    <w:p w14:paraId="4E4F6836" w14:textId="77777777" w:rsidR="005208AE" w:rsidRDefault="005208AE" w:rsidP="005208AE">
      <w:pPr>
        <w:spacing w:after="200" w:line="276" w:lineRule="auto"/>
        <w:contextualSpacing/>
      </w:pPr>
    </w:p>
    <w:p w14:paraId="575DB0D7" w14:textId="77777777" w:rsidR="005208AE" w:rsidRPr="004A7A23" w:rsidRDefault="005208AE" w:rsidP="005208AE">
      <w:pPr>
        <w:spacing w:after="200" w:line="276" w:lineRule="auto"/>
        <w:contextualSpacing/>
        <w:rPr>
          <w:rFonts w:ascii="Times New Roman" w:hAnsi="Times New Roman" w:cs="Times New Roman"/>
        </w:rPr>
      </w:pPr>
      <w:r>
        <w:tab/>
      </w:r>
      <w:r>
        <w:tab/>
      </w:r>
      <w:r>
        <w:tab/>
      </w:r>
      <w:r>
        <w:tab/>
      </w:r>
      <w:r>
        <w:tab/>
      </w:r>
      <w:r>
        <w:tab/>
      </w:r>
      <w:r>
        <w:tab/>
      </w:r>
      <w:r>
        <w:tab/>
      </w:r>
      <w:r>
        <w:rPr>
          <w:rFonts w:ascii="Times New Roman" w:hAnsi="Times New Roman" w:cs="Times New Roman"/>
        </w:rPr>
        <w:t>Phase I</w:t>
      </w:r>
      <w:r>
        <w:rPr>
          <w:rFonts w:ascii="Times New Roman" w:hAnsi="Times New Roman" w:cs="Times New Roman"/>
        </w:rPr>
        <w:tab/>
      </w:r>
      <w:r>
        <w:rPr>
          <w:rFonts w:ascii="Times New Roman" w:hAnsi="Times New Roman" w:cs="Times New Roman"/>
        </w:rPr>
        <w:tab/>
        <w:t>Phase II</w:t>
      </w:r>
    </w:p>
    <w:p w14:paraId="4055FE0C" w14:textId="77777777" w:rsidR="005208AE" w:rsidRPr="0071389F" w:rsidRDefault="005208AE" w:rsidP="005208AE">
      <w:pPr>
        <w:spacing w:after="200" w:line="276" w:lineRule="auto"/>
        <w:ind w:firstLine="720"/>
        <w:contextualSpacing/>
        <w:rPr>
          <w:rFonts w:ascii="Times New Roman" w:hAnsi="Times New Roman" w:cs="Times New Roman"/>
          <w:sz w:val="24"/>
          <w:szCs w:val="24"/>
        </w:rPr>
      </w:pPr>
      <w:r w:rsidRPr="0071389F">
        <w:rPr>
          <w:rFonts w:ascii="Times New Roman" w:hAnsi="Times New Roman" w:cs="Times New Roman"/>
          <w:sz w:val="24"/>
          <w:szCs w:val="24"/>
        </w:rPr>
        <w:t>(D) Municipal drinking fountains (Per Annum):</w:t>
      </w:r>
      <w:r w:rsidRPr="0071389F">
        <w:rPr>
          <w:rFonts w:ascii="Times New Roman" w:hAnsi="Times New Roman" w:cs="Times New Roman"/>
          <w:sz w:val="24"/>
          <w:szCs w:val="24"/>
        </w:rPr>
        <w:tab/>
        <w:t>$</w:t>
      </w:r>
      <w:r>
        <w:rPr>
          <w:rFonts w:ascii="Times New Roman" w:hAnsi="Times New Roman" w:cs="Times New Roman"/>
          <w:sz w:val="24"/>
          <w:szCs w:val="24"/>
        </w:rPr>
        <w:t>845.90</w:t>
      </w:r>
      <w:r>
        <w:rPr>
          <w:rFonts w:ascii="Times New Roman" w:hAnsi="Times New Roman" w:cs="Times New Roman"/>
          <w:sz w:val="24"/>
          <w:szCs w:val="24"/>
        </w:rPr>
        <w:tab/>
        <w:t>$947.41</w:t>
      </w:r>
    </w:p>
    <w:p w14:paraId="3DFFF950" w14:textId="77777777" w:rsidR="005208AE" w:rsidRPr="0071389F" w:rsidRDefault="005208AE" w:rsidP="00520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5" w:lineRule="auto"/>
        <w:ind w:firstLine="720"/>
        <w:rPr>
          <w:rFonts w:ascii="Times New Roman" w:eastAsiaTheme="minorEastAsia" w:hAnsi="Times New Roman" w:cs="Times New Roman"/>
          <w:sz w:val="24"/>
          <w:szCs w:val="24"/>
        </w:rPr>
      </w:pPr>
    </w:p>
    <w:p w14:paraId="200C3B92" w14:textId="77777777" w:rsidR="005208AE" w:rsidRPr="0071389F" w:rsidRDefault="005208AE" w:rsidP="00520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5" w:lineRule="auto"/>
        <w:ind w:firstLine="720"/>
        <w:rPr>
          <w:rFonts w:ascii="Times New Roman" w:eastAsiaTheme="minorEastAsia" w:hAnsi="Times New Roman" w:cs="Times New Roman"/>
          <w:sz w:val="24"/>
          <w:szCs w:val="24"/>
        </w:rPr>
      </w:pPr>
      <w:r w:rsidRPr="0071389F">
        <w:rPr>
          <w:rFonts w:ascii="Times New Roman" w:eastAsiaTheme="minorEastAsia" w:hAnsi="Times New Roman" w:cs="Times New Roman"/>
          <w:b/>
          <w:bCs/>
          <w:sz w:val="24"/>
          <w:szCs w:val="24"/>
          <w:u w:val="single"/>
        </w:rPr>
        <w:t>Section 6.</w:t>
      </w:r>
      <w:r w:rsidRPr="0071389F">
        <w:rPr>
          <w:rFonts w:ascii="Times New Roman" w:eastAsiaTheme="minorEastAsia" w:hAnsi="Times New Roman" w:cs="Times New Roman"/>
          <w:sz w:val="24"/>
          <w:szCs w:val="24"/>
        </w:rPr>
        <w:tab/>
        <w:t>Section 53.002(E) of the Decatur Code of Ordinances of 2015, as supplemented, is hereby amended to read as follows:</w:t>
      </w:r>
    </w:p>
    <w:p w14:paraId="10560AC9" w14:textId="77777777" w:rsidR="005208AE" w:rsidRPr="0071389F" w:rsidRDefault="005208AE" w:rsidP="005208AE">
      <w:pPr>
        <w:spacing w:after="200" w:line="276" w:lineRule="auto"/>
        <w:ind w:firstLine="720"/>
        <w:contextualSpacing/>
      </w:pPr>
    </w:p>
    <w:p w14:paraId="4FE88414" w14:textId="77777777" w:rsidR="005208AE" w:rsidRDefault="005208AE" w:rsidP="005208AE">
      <w:pPr>
        <w:spacing w:after="200" w:line="276" w:lineRule="auto"/>
        <w:ind w:firstLine="720"/>
        <w:contextualSpacing/>
        <w:rPr>
          <w:rFonts w:ascii="Times New Roman" w:hAnsi="Times New Roman" w:cs="Times New Roman"/>
          <w:sz w:val="24"/>
          <w:szCs w:val="24"/>
        </w:rPr>
      </w:pPr>
      <w:r w:rsidRPr="0071389F">
        <w:rPr>
          <w:rFonts w:ascii="Times New Roman" w:hAnsi="Times New Roman" w:cs="Times New Roman"/>
          <w:sz w:val="24"/>
          <w:szCs w:val="24"/>
        </w:rPr>
        <w:t>(E) Private fire protection (Per Annum):</w:t>
      </w:r>
      <w:r w:rsidRPr="0071389F">
        <w:rPr>
          <w:rFonts w:ascii="Times New Roman" w:hAnsi="Times New Roman" w:cs="Times New Roman"/>
          <w:sz w:val="24"/>
          <w:szCs w:val="24"/>
        </w:rPr>
        <w:tab/>
      </w:r>
    </w:p>
    <w:p w14:paraId="261FE2E9" w14:textId="77777777" w:rsidR="005208AE" w:rsidRPr="00237D6B" w:rsidRDefault="005208AE" w:rsidP="005208AE">
      <w:pPr>
        <w:spacing w:after="200" w:line="276" w:lineRule="auto"/>
        <w:ind w:firstLine="720"/>
        <w:contextualSpacing/>
        <w:rPr>
          <w:rFonts w:ascii="Times New Roman" w:hAnsi="Times New Roman" w:cs="Times New Roman"/>
          <w:sz w:val="24"/>
          <w:szCs w:val="24"/>
          <w:u w:val="single"/>
        </w:rPr>
      </w:pPr>
      <w:r w:rsidRPr="0071389F">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37D6B">
        <w:rPr>
          <w:rFonts w:ascii="Times New Roman" w:hAnsi="Times New Roman" w:cs="Times New Roman"/>
          <w:sz w:val="24"/>
          <w:szCs w:val="24"/>
          <w:u w:val="single"/>
        </w:rPr>
        <w:t>Phase I Rate</w:t>
      </w:r>
      <w:r w:rsidRPr="00237D6B">
        <w:rPr>
          <w:rFonts w:ascii="Times New Roman" w:hAnsi="Times New Roman" w:cs="Times New Roman"/>
          <w:sz w:val="24"/>
          <w:szCs w:val="24"/>
          <w:u w:val="single"/>
        </w:rPr>
        <w:tab/>
      </w:r>
      <w:r w:rsidRPr="00237D6B">
        <w:rPr>
          <w:rFonts w:ascii="Times New Roman" w:hAnsi="Times New Roman" w:cs="Times New Roman"/>
          <w:sz w:val="24"/>
          <w:szCs w:val="24"/>
          <w:u w:val="single"/>
        </w:rPr>
        <w:tab/>
        <w:t>Phase II Rate</w:t>
      </w:r>
    </w:p>
    <w:p w14:paraId="3050D0D9" w14:textId="77777777" w:rsidR="005208AE" w:rsidRPr="0071389F" w:rsidRDefault="005208AE" w:rsidP="005208AE">
      <w:pPr>
        <w:spacing w:after="200" w:line="276" w:lineRule="auto"/>
        <w:contextualSpacing/>
        <w:rPr>
          <w:rFonts w:ascii="Times New Roman" w:hAnsi="Times New Roman" w:cs="Times New Roman"/>
          <w:sz w:val="24"/>
          <w:szCs w:val="24"/>
        </w:rPr>
      </w:pPr>
      <w:r w:rsidRPr="0071389F">
        <w:rPr>
          <w:rFonts w:ascii="Times New Roman" w:hAnsi="Times New Roman" w:cs="Times New Roman"/>
          <w:sz w:val="24"/>
          <w:szCs w:val="24"/>
        </w:rPr>
        <w:tab/>
      </w:r>
      <w:r w:rsidRPr="0071389F">
        <w:rPr>
          <w:rFonts w:ascii="Times New Roman" w:hAnsi="Times New Roman" w:cs="Times New Roman"/>
          <w:sz w:val="24"/>
          <w:szCs w:val="24"/>
        </w:rPr>
        <w:tab/>
        <w:t>6-inch connection</w:t>
      </w:r>
      <w:r w:rsidRPr="0071389F">
        <w:rPr>
          <w:rFonts w:ascii="Times New Roman" w:hAnsi="Times New Roman" w:cs="Times New Roman"/>
          <w:sz w:val="24"/>
          <w:szCs w:val="24"/>
        </w:rPr>
        <w:tab/>
      </w:r>
      <w:r w:rsidRPr="0071389F">
        <w:rPr>
          <w:rFonts w:ascii="Times New Roman" w:hAnsi="Times New Roman" w:cs="Times New Roman"/>
          <w:sz w:val="24"/>
          <w:szCs w:val="24"/>
        </w:rPr>
        <w:tab/>
      </w:r>
      <w:r>
        <w:rPr>
          <w:rFonts w:ascii="Times New Roman" w:hAnsi="Times New Roman" w:cs="Times New Roman"/>
          <w:sz w:val="24"/>
          <w:szCs w:val="24"/>
        </w:rPr>
        <w:t>$1,423.92</w:t>
      </w:r>
      <w:r>
        <w:rPr>
          <w:rFonts w:ascii="Times New Roman" w:hAnsi="Times New Roman" w:cs="Times New Roman"/>
          <w:sz w:val="24"/>
          <w:szCs w:val="24"/>
        </w:rPr>
        <w:tab/>
      </w:r>
      <w:r>
        <w:rPr>
          <w:rFonts w:ascii="Times New Roman" w:hAnsi="Times New Roman" w:cs="Times New Roman"/>
          <w:sz w:val="24"/>
          <w:szCs w:val="24"/>
        </w:rPr>
        <w:tab/>
        <w:t>$1,594.79</w:t>
      </w:r>
    </w:p>
    <w:p w14:paraId="2768E442" w14:textId="77777777" w:rsidR="005208AE" w:rsidRPr="0071389F" w:rsidRDefault="005208AE" w:rsidP="005208AE">
      <w:pPr>
        <w:spacing w:after="200" w:line="276" w:lineRule="auto"/>
        <w:contextualSpacing/>
        <w:rPr>
          <w:rFonts w:ascii="Times New Roman" w:hAnsi="Times New Roman" w:cs="Times New Roman"/>
          <w:sz w:val="24"/>
          <w:szCs w:val="24"/>
        </w:rPr>
      </w:pPr>
      <w:r w:rsidRPr="0071389F">
        <w:rPr>
          <w:rFonts w:ascii="Times New Roman" w:hAnsi="Times New Roman" w:cs="Times New Roman"/>
          <w:sz w:val="24"/>
          <w:szCs w:val="24"/>
        </w:rPr>
        <w:tab/>
      </w:r>
      <w:r w:rsidRPr="0071389F">
        <w:rPr>
          <w:rFonts w:ascii="Times New Roman" w:hAnsi="Times New Roman" w:cs="Times New Roman"/>
          <w:sz w:val="24"/>
          <w:szCs w:val="24"/>
        </w:rPr>
        <w:tab/>
        <w:t>8-inch connection</w:t>
      </w:r>
      <w:r w:rsidRPr="0071389F">
        <w:rPr>
          <w:rFonts w:ascii="Times New Roman" w:hAnsi="Times New Roman" w:cs="Times New Roman"/>
          <w:sz w:val="24"/>
          <w:szCs w:val="24"/>
        </w:rPr>
        <w:tab/>
      </w:r>
      <w:r w:rsidRPr="0071389F">
        <w:rPr>
          <w:rFonts w:ascii="Times New Roman" w:hAnsi="Times New Roman" w:cs="Times New Roman"/>
          <w:sz w:val="24"/>
          <w:szCs w:val="24"/>
        </w:rPr>
        <w:tab/>
        <w:t>$ 2,</w:t>
      </w:r>
      <w:r>
        <w:rPr>
          <w:rFonts w:ascii="Times New Roman" w:hAnsi="Times New Roman" w:cs="Times New Roman"/>
          <w:sz w:val="24"/>
          <w:szCs w:val="24"/>
        </w:rPr>
        <w:t>601.89</w:t>
      </w:r>
      <w:r>
        <w:rPr>
          <w:rFonts w:ascii="Times New Roman" w:hAnsi="Times New Roman" w:cs="Times New Roman"/>
          <w:sz w:val="24"/>
          <w:szCs w:val="24"/>
        </w:rPr>
        <w:tab/>
      </w:r>
      <w:r>
        <w:rPr>
          <w:rFonts w:ascii="Times New Roman" w:hAnsi="Times New Roman" w:cs="Times New Roman"/>
          <w:sz w:val="24"/>
          <w:szCs w:val="24"/>
        </w:rPr>
        <w:tab/>
        <w:t>$2,914.12</w:t>
      </w:r>
    </w:p>
    <w:p w14:paraId="7E098021" w14:textId="77777777" w:rsidR="005208AE" w:rsidRPr="0071389F" w:rsidRDefault="005208AE" w:rsidP="005208AE">
      <w:pPr>
        <w:spacing w:after="200" w:line="276" w:lineRule="auto"/>
        <w:contextualSpacing/>
        <w:rPr>
          <w:rFonts w:ascii="Times New Roman" w:hAnsi="Times New Roman" w:cs="Times New Roman"/>
          <w:sz w:val="24"/>
          <w:szCs w:val="24"/>
        </w:rPr>
      </w:pPr>
      <w:r w:rsidRPr="0071389F">
        <w:rPr>
          <w:rFonts w:ascii="Times New Roman" w:hAnsi="Times New Roman" w:cs="Times New Roman"/>
          <w:sz w:val="24"/>
          <w:szCs w:val="24"/>
        </w:rPr>
        <w:tab/>
      </w:r>
      <w:r w:rsidRPr="0071389F">
        <w:rPr>
          <w:rFonts w:ascii="Times New Roman" w:hAnsi="Times New Roman" w:cs="Times New Roman"/>
          <w:sz w:val="24"/>
          <w:szCs w:val="24"/>
        </w:rPr>
        <w:tab/>
        <w:t>10-inch and over connection</w:t>
      </w:r>
      <w:r w:rsidRPr="0071389F">
        <w:rPr>
          <w:rFonts w:ascii="Times New Roman" w:hAnsi="Times New Roman" w:cs="Times New Roman"/>
          <w:sz w:val="24"/>
          <w:szCs w:val="24"/>
        </w:rPr>
        <w:tab/>
        <w:t>$</w:t>
      </w:r>
      <w:r>
        <w:rPr>
          <w:rFonts w:ascii="Times New Roman" w:hAnsi="Times New Roman" w:cs="Times New Roman"/>
          <w:sz w:val="24"/>
          <w:szCs w:val="24"/>
        </w:rPr>
        <w:t>3,935.19</w:t>
      </w:r>
      <w:r w:rsidRPr="0071389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$4,407.41</w:t>
      </w:r>
    </w:p>
    <w:p w14:paraId="4D856F1E" w14:textId="77777777" w:rsidR="005208AE" w:rsidRPr="0071389F" w:rsidRDefault="005208AE" w:rsidP="005208AE">
      <w:pPr>
        <w:spacing w:after="200" w:line="276" w:lineRule="auto"/>
        <w:contextualSpacing/>
        <w:rPr>
          <w:rFonts w:ascii="Times New Roman" w:hAnsi="Times New Roman" w:cs="Times New Roman"/>
          <w:sz w:val="24"/>
          <w:szCs w:val="24"/>
        </w:rPr>
      </w:pPr>
    </w:p>
    <w:p w14:paraId="1304B8EE" w14:textId="77777777" w:rsidR="005208AE" w:rsidRPr="0071389F" w:rsidRDefault="005208AE" w:rsidP="005208AE">
      <w:pPr>
        <w:spacing w:after="200" w:line="276" w:lineRule="auto"/>
        <w:contextualSpacing/>
        <w:rPr>
          <w:rFonts w:ascii="Times New Roman" w:hAnsi="Times New Roman" w:cs="Times New Roman"/>
          <w:sz w:val="24"/>
          <w:szCs w:val="24"/>
        </w:rPr>
      </w:pPr>
      <w:r w:rsidRPr="0071389F">
        <w:rPr>
          <w:rFonts w:ascii="Times New Roman" w:hAnsi="Times New Roman" w:cs="Times New Roman"/>
          <w:sz w:val="24"/>
          <w:szCs w:val="24"/>
        </w:rPr>
        <w:tab/>
      </w:r>
      <w:r w:rsidRPr="0071389F">
        <w:rPr>
          <w:rFonts w:ascii="Times New Roman" w:hAnsi="Times New Roman" w:cs="Times New Roman"/>
          <w:b/>
          <w:bCs/>
          <w:sz w:val="24"/>
          <w:szCs w:val="24"/>
          <w:u w:val="single"/>
        </w:rPr>
        <w:t>Section 7.</w:t>
      </w:r>
      <w:r w:rsidRPr="0071389F">
        <w:rPr>
          <w:rFonts w:ascii="Times New Roman" w:hAnsi="Times New Roman" w:cs="Times New Roman"/>
          <w:sz w:val="24"/>
          <w:szCs w:val="24"/>
        </w:rPr>
        <w:tab/>
        <w:t>Section 53.002(I) of the Decatur Code of Ordinances of 2015, as supplemented, is hereby amended to read as follows:</w:t>
      </w:r>
    </w:p>
    <w:p w14:paraId="37372C92" w14:textId="77777777" w:rsidR="005208AE" w:rsidRPr="0071389F" w:rsidRDefault="005208AE" w:rsidP="005208AE">
      <w:pPr>
        <w:widowControl w:val="0"/>
        <w:autoSpaceDE w:val="0"/>
        <w:autoSpaceDN w:val="0"/>
        <w:adjustRightInd w:val="0"/>
        <w:spacing w:after="0" w:line="240" w:lineRule="auto"/>
        <w:ind w:firstLine="720"/>
        <w:rPr>
          <w:rFonts w:ascii="Times New Roman" w:hAnsi="Times New Roman" w:cs="Times New Roman"/>
        </w:rPr>
      </w:pPr>
      <w:r w:rsidRPr="0071389F">
        <w:rPr>
          <w:rFonts w:ascii="Times New Roman" w:eastAsiaTheme="minorEastAsia" w:hAnsi="Times New Roman" w:cs="Times New Roman"/>
          <w:sz w:val="24"/>
          <w:szCs w:val="24"/>
        </w:rPr>
        <w:t>(I)</w:t>
      </w:r>
      <w:r w:rsidRPr="0071389F">
        <w:rPr>
          <w:rFonts w:ascii="Times New Roman" w:eastAsiaTheme="minorEastAsia" w:hAnsi="Times New Roman" w:cs="Times New Roman"/>
          <w:sz w:val="24"/>
          <w:szCs w:val="24"/>
        </w:rPr>
        <w:tab/>
        <w:t>Monthly rates for resale of raw water.</w:t>
      </w:r>
    </w:p>
    <w:p w14:paraId="5AB5BA06" w14:textId="77777777" w:rsidR="005208AE" w:rsidRDefault="005208AE" w:rsidP="005208AE">
      <w:pPr>
        <w:widowControl w:val="0"/>
        <w:autoSpaceDE w:val="0"/>
        <w:autoSpaceDN w:val="0"/>
        <w:adjustRightInd w:val="0"/>
        <w:spacing w:after="0" w:line="240" w:lineRule="auto"/>
        <w:rPr>
          <w:rFonts w:ascii="Times New Roman" w:eastAsiaTheme="minorEastAsia" w:hAnsi="Times New Roman" w:cs="Times New Roman"/>
          <w:sz w:val="24"/>
          <w:szCs w:val="24"/>
        </w:rPr>
      </w:pPr>
      <w:r w:rsidRPr="0071389F">
        <w:rPr>
          <w:rFonts w:ascii="Times New Roman" w:eastAsiaTheme="minorEastAsia" w:hAnsi="Times New Roman" w:cs="Times New Roman"/>
          <w:sz w:val="24"/>
          <w:szCs w:val="24"/>
        </w:rPr>
        <w:tab/>
      </w:r>
      <w:r w:rsidRPr="0071389F">
        <w:rPr>
          <w:rFonts w:ascii="Times New Roman" w:eastAsiaTheme="minorEastAsia" w:hAnsi="Times New Roman" w:cs="Times New Roman"/>
          <w:sz w:val="24"/>
          <w:szCs w:val="24"/>
        </w:rPr>
        <w:tab/>
      </w:r>
    </w:p>
    <w:p w14:paraId="08AE61FB" w14:textId="77777777" w:rsidR="005208AE" w:rsidRPr="00237D6B" w:rsidRDefault="005208AE" w:rsidP="005208AE">
      <w:pPr>
        <w:widowControl w:val="0"/>
        <w:autoSpaceDE w:val="0"/>
        <w:autoSpaceDN w:val="0"/>
        <w:adjustRightInd w:val="0"/>
        <w:spacing w:after="0" w:line="240" w:lineRule="auto"/>
        <w:ind w:left="720" w:firstLine="720"/>
        <w:rPr>
          <w:rFonts w:ascii="Times New Roman" w:eastAsiaTheme="minorEastAsia" w:hAnsi="Times New Roman" w:cs="Times New Roman"/>
          <w:sz w:val="24"/>
          <w:szCs w:val="24"/>
          <w:u w:val="single"/>
        </w:rPr>
      </w:pPr>
      <w:r w:rsidRPr="00237D6B">
        <w:rPr>
          <w:rFonts w:ascii="Times New Roman" w:eastAsiaTheme="minorEastAsia" w:hAnsi="Times New Roman" w:cs="Times New Roman"/>
          <w:sz w:val="24"/>
          <w:szCs w:val="24"/>
          <w:u w:val="single"/>
        </w:rPr>
        <w:t>Gallons (Rate per 1,000 gallons)</w:t>
      </w:r>
      <w:r w:rsidRPr="00237D6B">
        <w:rPr>
          <w:rFonts w:ascii="Times New Roman" w:eastAsiaTheme="minorEastAsia" w:hAnsi="Times New Roman" w:cs="Times New Roman"/>
          <w:sz w:val="24"/>
          <w:szCs w:val="24"/>
          <w:u w:val="single"/>
        </w:rPr>
        <w:tab/>
        <w:t>Phase I</w:t>
      </w:r>
      <w:r>
        <w:rPr>
          <w:rFonts w:ascii="Times New Roman" w:eastAsiaTheme="minorEastAsia" w:hAnsi="Times New Roman" w:cs="Times New Roman"/>
          <w:sz w:val="24"/>
          <w:szCs w:val="24"/>
          <w:u w:val="single"/>
        </w:rPr>
        <w:tab/>
      </w:r>
      <w:r>
        <w:rPr>
          <w:rFonts w:ascii="Times New Roman" w:eastAsiaTheme="minorEastAsia" w:hAnsi="Times New Roman" w:cs="Times New Roman"/>
          <w:sz w:val="24"/>
          <w:szCs w:val="24"/>
          <w:u w:val="single"/>
        </w:rPr>
        <w:tab/>
        <w:t>Phase II</w:t>
      </w:r>
    </w:p>
    <w:p w14:paraId="24F19FF2" w14:textId="77777777" w:rsidR="005208AE" w:rsidRPr="0071389F" w:rsidRDefault="005208AE" w:rsidP="005208AE">
      <w:pPr>
        <w:widowControl w:val="0"/>
        <w:autoSpaceDE w:val="0"/>
        <w:autoSpaceDN w:val="0"/>
        <w:adjustRightInd w:val="0"/>
        <w:spacing w:after="0" w:line="240" w:lineRule="auto"/>
        <w:rPr>
          <w:rFonts w:ascii="Times New Roman" w:eastAsiaTheme="minorEastAsia" w:hAnsi="Times New Roman" w:cs="Times New Roman"/>
          <w:sz w:val="24"/>
          <w:szCs w:val="24"/>
        </w:rPr>
      </w:pPr>
      <w:r w:rsidRPr="0071389F">
        <w:rPr>
          <w:rFonts w:ascii="Times New Roman" w:eastAsiaTheme="minorEastAsia" w:hAnsi="Times New Roman" w:cs="Times New Roman"/>
          <w:sz w:val="24"/>
          <w:szCs w:val="24"/>
        </w:rPr>
        <w:tab/>
      </w:r>
      <w:r w:rsidRPr="0071389F">
        <w:rPr>
          <w:rFonts w:ascii="Times New Roman" w:eastAsiaTheme="minorEastAsia" w:hAnsi="Times New Roman" w:cs="Times New Roman"/>
          <w:sz w:val="24"/>
          <w:szCs w:val="24"/>
        </w:rPr>
        <w:tab/>
        <w:t>First 750,000</w:t>
      </w:r>
      <w:r w:rsidRPr="0071389F">
        <w:rPr>
          <w:rFonts w:ascii="Times New Roman" w:eastAsiaTheme="minorEastAsia" w:hAnsi="Times New Roman" w:cs="Times New Roman"/>
          <w:sz w:val="24"/>
          <w:szCs w:val="24"/>
        </w:rPr>
        <w:tab/>
      </w:r>
      <w:r w:rsidRPr="0071389F">
        <w:rPr>
          <w:rFonts w:ascii="Times New Roman" w:eastAsiaTheme="minorEastAsia" w:hAnsi="Times New Roman" w:cs="Times New Roman"/>
          <w:sz w:val="24"/>
          <w:szCs w:val="24"/>
        </w:rPr>
        <w:tab/>
      </w:r>
      <w:r w:rsidRPr="0071389F">
        <w:rPr>
          <w:rFonts w:ascii="Times New Roman" w:eastAsiaTheme="minorEastAsia" w:hAnsi="Times New Roman" w:cs="Times New Roman"/>
          <w:sz w:val="24"/>
          <w:szCs w:val="24"/>
        </w:rPr>
        <w:tab/>
      </w:r>
      <w:r w:rsidRPr="0071389F">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1.36</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$1.52</w:t>
      </w:r>
    </w:p>
    <w:p w14:paraId="6491BE82" w14:textId="77777777" w:rsidR="005208AE" w:rsidRPr="0071389F" w:rsidRDefault="005208AE" w:rsidP="005208AE">
      <w:pPr>
        <w:widowControl w:val="0"/>
        <w:autoSpaceDE w:val="0"/>
        <w:autoSpaceDN w:val="0"/>
        <w:adjustRightInd w:val="0"/>
        <w:spacing w:after="0" w:line="240" w:lineRule="auto"/>
        <w:rPr>
          <w:rFonts w:ascii="Times New Roman" w:eastAsiaTheme="minorEastAsia" w:hAnsi="Times New Roman" w:cs="Times New Roman"/>
          <w:sz w:val="24"/>
          <w:szCs w:val="24"/>
        </w:rPr>
      </w:pPr>
      <w:r w:rsidRPr="0071389F">
        <w:rPr>
          <w:rFonts w:ascii="Times New Roman" w:eastAsiaTheme="minorEastAsia" w:hAnsi="Times New Roman" w:cs="Times New Roman"/>
          <w:sz w:val="24"/>
          <w:szCs w:val="24"/>
        </w:rPr>
        <w:tab/>
      </w:r>
      <w:r w:rsidRPr="0071389F">
        <w:rPr>
          <w:rFonts w:ascii="Times New Roman" w:eastAsiaTheme="minorEastAsia" w:hAnsi="Times New Roman" w:cs="Times New Roman"/>
          <w:sz w:val="24"/>
          <w:szCs w:val="24"/>
        </w:rPr>
        <w:tab/>
        <w:t>Next 1,250,000</w:t>
      </w:r>
      <w:r w:rsidRPr="0071389F">
        <w:rPr>
          <w:rFonts w:ascii="Times New Roman" w:eastAsiaTheme="minorEastAsia" w:hAnsi="Times New Roman" w:cs="Times New Roman"/>
          <w:sz w:val="24"/>
          <w:szCs w:val="24"/>
        </w:rPr>
        <w:tab/>
      </w:r>
      <w:r w:rsidRPr="0071389F">
        <w:rPr>
          <w:rFonts w:ascii="Times New Roman" w:eastAsiaTheme="minorEastAsia" w:hAnsi="Times New Roman" w:cs="Times New Roman"/>
          <w:sz w:val="24"/>
          <w:szCs w:val="24"/>
        </w:rPr>
        <w:tab/>
      </w:r>
      <w:r w:rsidRPr="0071389F">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1.24</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$1.39</w:t>
      </w:r>
    </w:p>
    <w:p w14:paraId="464678E3" w14:textId="77777777" w:rsidR="005208AE" w:rsidRPr="0071389F" w:rsidRDefault="005208AE" w:rsidP="005208AE">
      <w:pPr>
        <w:widowControl w:val="0"/>
        <w:autoSpaceDE w:val="0"/>
        <w:autoSpaceDN w:val="0"/>
        <w:adjustRightInd w:val="0"/>
        <w:spacing w:after="0" w:line="240" w:lineRule="auto"/>
        <w:rPr>
          <w:rFonts w:ascii="Times New Roman" w:eastAsiaTheme="minorEastAsia" w:hAnsi="Times New Roman" w:cs="Times New Roman"/>
          <w:sz w:val="24"/>
          <w:szCs w:val="24"/>
        </w:rPr>
      </w:pPr>
      <w:r w:rsidRPr="0071389F">
        <w:rPr>
          <w:rFonts w:ascii="Times New Roman" w:eastAsiaTheme="minorEastAsia" w:hAnsi="Times New Roman" w:cs="Times New Roman"/>
          <w:sz w:val="24"/>
          <w:szCs w:val="24"/>
        </w:rPr>
        <w:tab/>
      </w:r>
      <w:r w:rsidRPr="0071389F">
        <w:rPr>
          <w:rFonts w:ascii="Times New Roman" w:eastAsiaTheme="minorEastAsia" w:hAnsi="Times New Roman" w:cs="Times New Roman"/>
          <w:sz w:val="24"/>
          <w:szCs w:val="24"/>
        </w:rPr>
        <w:tab/>
        <w:t>Next 2,000,000</w:t>
      </w:r>
      <w:r w:rsidRPr="0071389F">
        <w:rPr>
          <w:rFonts w:ascii="Times New Roman" w:eastAsiaTheme="minorEastAsia" w:hAnsi="Times New Roman" w:cs="Times New Roman"/>
          <w:sz w:val="24"/>
          <w:szCs w:val="24"/>
        </w:rPr>
        <w:tab/>
      </w:r>
      <w:r w:rsidRPr="0071389F">
        <w:rPr>
          <w:rFonts w:ascii="Times New Roman" w:eastAsiaTheme="minorEastAsia" w:hAnsi="Times New Roman" w:cs="Times New Roman"/>
          <w:sz w:val="24"/>
          <w:szCs w:val="24"/>
        </w:rPr>
        <w:tab/>
      </w:r>
      <w:r w:rsidRPr="0071389F">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1.06</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$1.19</w:t>
      </w:r>
    </w:p>
    <w:p w14:paraId="18987961" w14:textId="77777777" w:rsidR="005208AE" w:rsidRPr="0071389F" w:rsidRDefault="005208AE" w:rsidP="005208AE">
      <w:pPr>
        <w:widowControl w:val="0"/>
        <w:autoSpaceDE w:val="0"/>
        <w:autoSpaceDN w:val="0"/>
        <w:adjustRightInd w:val="0"/>
        <w:spacing w:after="0" w:line="240" w:lineRule="auto"/>
        <w:rPr>
          <w:rFonts w:ascii="Times New Roman" w:eastAsiaTheme="minorEastAsia" w:hAnsi="Times New Roman" w:cs="Times New Roman"/>
          <w:sz w:val="24"/>
          <w:szCs w:val="24"/>
        </w:rPr>
      </w:pPr>
      <w:r w:rsidRPr="0071389F">
        <w:rPr>
          <w:rFonts w:ascii="Times New Roman" w:eastAsiaTheme="minorEastAsia" w:hAnsi="Times New Roman" w:cs="Times New Roman"/>
          <w:sz w:val="24"/>
          <w:szCs w:val="24"/>
        </w:rPr>
        <w:tab/>
      </w:r>
      <w:r w:rsidRPr="0071389F">
        <w:rPr>
          <w:rFonts w:ascii="Times New Roman" w:eastAsiaTheme="minorEastAsia" w:hAnsi="Times New Roman" w:cs="Times New Roman"/>
          <w:sz w:val="24"/>
          <w:szCs w:val="24"/>
        </w:rPr>
        <w:tab/>
        <w:t>Next 6,000,000</w:t>
      </w:r>
      <w:r w:rsidRPr="0071389F">
        <w:rPr>
          <w:rFonts w:ascii="Times New Roman" w:eastAsiaTheme="minorEastAsia" w:hAnsi="Times New Roman" w:cs="Times New Roman"/>
          <w:sz w:val="24"/>
          <w:szCs w:val="24"/>
        </w:rPr>
        <w:tab/>
      </w:r>
      <w:r w:rsidRPr="0071389F">
        <w:rPr>
          <w:rFonts w:ascii="Times New Roman" w:eastAsiaTheme="minorEastAsia" w:hAnsi="Times New Roman" w:cs="Times New Roman"/>
          <w:sz w:val="24"/>
          <w:szCs w:val="24"/>
        </w:rPr>
        <w:tab/>
      </w:r>
      <w:r w:rsidRPr="0071389F">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0.96</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$1.08</w:t>
      </w:r>
    </w:p>
    <w:p w14:paraId="2C753AB5" w14:textId="77777777" w:rsidR="005208AE" w:rsidRPr="0071389F" w:rsidRDefault="005208AE" w:rsidP="005208AE">
      <w:pPr>
        <w:widowControl w:val="0"/>
        <w:autoSpaceDE w:val="0"/>
        <w:autoSpaceDN w:val="0"/>
        <w:adjustRightInd w:val="0"/>
        <w:spacing w:after="0" w:line="240" w:lineRule="auto"/>
        <w:rPr>
          <w:rFonts w:ascii="Times New Roman" w:eastAsiaTheme="minorEastAsia" w:hAnsi="Times New Roman" w:cs="Times New Roman"/>
          <w:sz w:val="24"/>
          <w:szCs w:val="24"/>
        </w:rPr>
      </w:pPr>
      <w:r w:rsidRPr="0071389F">
        <w:rPr>
          <w:rFonts w:ascii="Times New Roman" w:eastAsiaTheme="minorEastAsia" w:hAnsi="Times New Roman" w:cs="Times New Roman"/>
          <w:sz w:val="24"/>
          <w:szCs w:val="24"/>
        </w:rPr>
        <w:tab/>
      </w:r>
      <w:r w:rsidRPr="0071389F">
        <w:rPr>
          <w:rFonts w:ascii="Times New Roman" w:eastAsiaTheme="minorEastAsia" w:hAnsi="Times New Roman" w:cs="Times New Roman"/>
          <w:sz w:val="24"/>
          <w:szCs w:val="24"/>
        </w:rPr>
        <w:tab/>
        <w:t>Over 10,000,000</w:t>
      </w:r>
      <w:r w:rsidRPr="0071389F">
        <w:rPr>
          <w:rFonts w:ascii="Times New Roman" w:eastAsiaTheme="minorEastAsia" w:hAnsi="Times New Roman" w:cs="Times New Roman"/>
          <w:sz w:val="24"/>
          <w:szCs w:val="24"/>
        </w:rPr>
        <w:tab/>
      </w:r>
      <w:r w:rsidRPr="0071389F">
        <w:rPr>
          <w:rFonts w:ascii="Times New Roman" w:eastAsiaTheme="minorEastAsia" w:hAnsi="Times New Roman" w:cs="Times New Roman"/>
          <w:sz w:val="24"/>
          <w:szCs w:val="24"/>
        </w:rPr>
        <w:tab/>
      </w:r>
      <w:r w:rsidRPr="0071389F">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0.81</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$0.91</w:t>
      </w:r>
    </w:p>
    <w:p w14:paraId="2859FBA3" w14:textId="77777777" w:rsidR="005208AE" w:rsidRPr="0071389F" w:rsidRDefault="005208AE" w:rsidP="005208AE">
      <w:pPr>
        <w:widowControl w:val="0"/>
        <w:autoSpaceDE w:val="0"/>
        <w:autoSpaceDN w:val="0"/>
        <w:adjustRightInd w:val="0"/>
        <w:spacing w:after="0" w:line="240" w:lineRule="auto"/>
        <w:rPr>
          <w:rFonts w:ascii="Times New Roman" w:eastAsiaTheme="minorEastAsia" w:hAnsi="Times New Roman" w:cs="Times New Roman"/>
          <w:sz w:val="24"/>
          <w:szCs w:val="24"/>
        </w:rPr>
      </w:pPr>
      <w:r w:rsidRPr="0071389F">
        <w:rPr>
          <w:rFonts w:ascii="Times New Roman" w:eastAsiaTheme="minorEastAsia" w:hAnsi="Times New Roman" w:cs="Times New Roman"/>
          <w:sz w:val="24"/>
          <w:szCs w:val="24"/>
        </w:rPr>
        <w:tab/>
        <w:t>Minimum monthly charge</w:t>
      </w:r>
      <w:r w:rsidRPr="0071389F">
        <w:rPr>
          <w:rFonts w:ascii="Times New Roman" w:eastAsiaTheme="minorEastAsia" w:hAnsi="Times New Roman" w:cs="Times New Roman"/>
          <w:sz w:val="24"/>
          <w:szCs w:val="24"/>
        </w:rPr>
        <w:tab/>
      </w:r>
      <w:r w:rsidRPr="0071389F">
        <w:rPr>
          <w:rFonts w:ascii="Times New Roman" w:eastAsiaTheme="minorEastAsia" w:hAnsi="Times New Roman" w:cs="Times New Roman"/>
          <w:sz w:val="24"/>
          <w:szCs w:val="24"/>
        </w:rPr>
        <w:tab/>
      </w:r>
      <w:r w:rsidRPr="0071389F">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1,016.67</w:t>
      </w:r>
      <w:r>
        <w:rPr>
          <w:rFonts w:ascii="Times New Roman" w:eastAsiaTheme="minorEastAsia" w:hAnsi="Times New Roman" w:cs="Times New Roman"/>
          <w:sz w:val="24"/>
          <w:szCs w:val="24"/>
        </w:rPr>
        <w:tab/>
        <w:t>$1,138.67</w:t>
      </w:r>
    </w:p>
    <w:p w14:paraId="1F175370" w14:textId="77777777" w:rsidR="005208AE" w:rsidRPr="0071389F" w:rsidRDefault="005208AE" w:rsidP="005208AE">
      <w:pPr>
        <w:spacing w:after="200" w:line="276" w:lineRule="auto"/>
        <w:contextualSpacing/>
        <w:rPr>
          <w:rFonts w:ascii="Times New Roman" w:hAnsi="Times New Roman" w:cs="Times New Roman"/>
          <w:i/>
          <w:sz w:val="24"/>
          <w:szCs w:val="24"/>
        </w:rPr>
      </w:pPr>
    </w:p>
    <w:p w14:paraId="3CF93649" w14:textId="4A7BD125" w:rsidR="00272FBF" w:rsidRDefault="00272FBF">
      <w:pPr>
        <w:rPr>
          <w:rFonts w:ascii="Times New Roman" w:hAnsi="Times New Roman" w:cs="Times New Roman"/>
          <w:sz w:val="24"/>
          <w:szCs w:val="24"/>
        </w:rPr>
      </w:pPr>
      <w:r>
        <w:rPr>
          <w:rFonts w:ascii="Times New Roman" w:hAnsi="Times New Roman" w:cs="Times New Roman"/>
          <w:sz w:val="24"/>
          <w:szCs w:val="24"/>
        </w:rPr>
        <w:t>At such hearing and prior to final adoption of Ordinance 2024-13 all interested parties may appear and be heard.  A copy of Ordinance No. 2024-13 may be examined at the office of the Clerk-Treasurer.</w:t>
      </w:r>
    </w:p>
    <w:p w14:paraId="20B4A990" w14:textId="64EDE222" w:rsidR="00272FBF" w:rsidRDefault="00272FBF">
      <w:pPr>
        <w:rPr>
          <w:rFonts w:ascii="Times New Roman" w:hAnsi="Times New Roman" w:cs="Times New Roman"/>
          <w:sz w:val="24"/>
          <w:szCs w:val="24"/>
        </w:rPr>
      </w:pPr>
      <w:r>
        <w:rPr>
          <w:rFonts w:ascii="Times New Roman" w:hAnsi="Times New Roman" w:cs="Times New Roman"/>
          <w:sz w:val="24"/>
          <w:szCs w:val="24"/>
        </w:rPr>
        <w:t>Following the adoption of Ordinance No. 2024-13, users located outside the municipality’s corporate boundaries may be entitled to petition the Indiana Utility Regulatory Commission under Indiana Cod</w:t>
      </w:r>
      <w:r w:rsidR="00BF4030">
        <w:rPr>
          <w:rFonts w:ascii="Times New Roman" w:hAnsi="Times New Roman" w:cs="Times New Roman"/>
          <w:sz w:val="24"/>
          <w:szCs w:val="24"/>
        </w:rPr>
        <w:t>e</w:t>
      </w:r>
      <w:r>
        <w:rPr>
          <w:rFonts w:ascii="Times New Roman" w:hAnsi="Times New Roman" w:cs="Times New Roman"/>
          <w:sz w:val="24"/>
          <w:szCs w:val="24"/>
        </w:rPr>
        <w:t xml:space="preserve"> 8-1.5-3-8.3 to review and adjust rates and charges imposed upon the users if a petition under Indiana Code 8-1.5-3-8.2 with respect to the same rate ordinance has not been filed.</w:t>
      </w:r>
    </w:p>
    <w:p w14:paraId="00386B12" w14:textId="29D62F8F" w:rsidR="00272FBF" w:rsidRDefault="00272FBF">
      <w:pPr>
        <w:rPr>
          <w:rFonts w:ascii="Times New Roman" w:hAnsi="Times New Roman" w:cs="Times New Roman"/>
          <w:sz w:val="24"/>
          <w:szCs w:val="24"/>
        </w:rPr>
      </w:pPr>
      <w:r>
        <w:rPr>
          <w:rFonts w:ascii="Times New Roman" w:hAnsi="Times New Roman" w:cs="Times New Roman"/>
          <w:sz w:val="24"/>
          <w:szCs w:val="24"/>
        </w:rPr>
        <w:t>Dated this 3</w:t>
      </w:r>
      <w:r w:rsidRPr="00272FBF">
        <w:rPr>
          <w:rFonts w:ascii="Times New Roman" w:hAnsi="Times New Roman" w:cs="Times New Roman"/>
          <w:sz w:val="24"/>
          <w:szCs w:val="24"/>
          <w:vertAlign w:val="superscript"/>
        </w:rPr>
        <w:t>rd</w:t>
      </w:r>
      <w:r>
        <w:rPr>
          <w:rFonts w:ascii="Times New Roman" w:hAnsi="Times New Roman" w:cs="Times New Roman"/>
          <w:sz w:val="24"/>
          <w:szCs w:val="24"/>
        </w:rPr>
        <w:t xml:space="preserve"> day of October, 2024.</w:t>
      </w:r>
    </w:p>
    <w:p w14:paraId="1582E607" w14:textId="77777777" w:rsidR="00272FBF" w:rsidRDefault="00272FBF">
      <w:pPr>
        <w:rPr>
          <w:rFonts w:ascii="Times New Roman" w:hAnsi="Times New Roman" w:cs="Times New Roman"/>
          <w:sz w:val="24"/>
          <w:szCs w:val="24"/>
        </w:rPr>
      </w:pPr>
    </w:p>
    <w:p w14:paraId="1B6BA421" w14:textId="2F215667" w:rsidR="00272FBF" w:rsidRPr="00272FBF" w:rsidRDefault="00272FBF">
      <w:pPr>
        <w:rPr>
          <w:rFonts w:ascii="Times New Roman" w:hAnsi="Times New Roman" w:cs="Times New Roman"/>
          <w:sz w:val="24"/>
          <w:szCs w:val="24"/>
        </w:rPr>
      </w:pPr>
      <w:r>
        <w:rPr>
          <w:rFonts w:ascii="Times New Roman" w:hAnsi="Times New Roman" w:cs="Times New Roman"/>
          <w:sz w:val="24"/>
          <w:szCs w:val="24"/>
        </w:rPr>
        <w:t>City of Decatur, Indiana</w:t>
      </w:r>
    </w:p>
    <w:sectPr w:rsidR="00272FBF" w:rsidRPr="00272F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011DE"/>
    <w:multiLevelType w:val="hybridMultilevel"/>
    <w:tmpl w:val="CE66BB78"/>
    <w:lvl w:ilvl="0" w:tplc="10E45672">
      <w:start w:val="2"/>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E7F2E83"/>
    <w:multiLevelType w:val="hybridMultilevel"/>
    <w:tmpl w:val="E42E5E14"/>
    <w:lvl w:ilvl="0" w:tplc="59CE8A1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58A57890"/>
    <w:multiLevelType w:val="hybridMultilevel"/>
    <w:tmpl w:val="D9DA2434"/>
    <w:lvl w:ilvl="0" w:tplc="042EA6BA">
      <w:start w:val="1"/>
      <w:numFmt w:val="decimal"/>
      <w:lvlText w:val="(%1)"/>
      <w:lvlJc w:val="left"/>
      <w:pPr>
        <w:ind w:left="1800" w:hanging="36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8AE"/>
    <w:rsid w:val="00137C66"/>
    <w:rsid w:val="00240950"/>
    <w:rsid w:val="00272FBF"/>
    <w:rsid w:val="00374025"/>
    <w:rsid w:val="00476EAE"/>
    <w:rsid w:val="005208AE"/>
    <w:rsid w:val="007C2D75"/>
    <w:rsid w:val="009066F5"/>
    <w:rsid w:val="00985080"/>
    <w:rsid w:val="00AA1BAE"/>
    <w:rsid w:val="00AE58CF"/>
    <w:rsid w:val="00B45573"/>
    <w:rsid w:val="00BF4030"/>
    <w:rsid w:val="00D2228B"/>
    <w:rsid w:val="00DD07ED"/>
    <w:rsid w:val="00ED765F"/>
    <w:rsid w:val="00F158A0"/>
    <w:rsid w:val="00F63435"/>
    <w:rsid w:val="00F9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C80A9"/>
  <w15:chartTrackingRefBased/>
  <w15:docId w15:val="{6939E05E-18CD-410A-876A-3FD37E6A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08AE"/>
  </w:style>
  <w:style w:type="paragraph" w:styleId="Heading1">
    <w:name w:val="heading 1"/>
    <w:basedOn w:val="Normal"/>
    <w:next w:val="Normal"/>
    <w:link w:val="Heading1Char"/>
    <w:uiPriority w:val="9"/>
    <w:qFormat/>
    <w:rsid w:val="005208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08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08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08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08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08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8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8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8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8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08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08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08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08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08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8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8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8AE"/>
    <w:rPr>
      <w:rFonts w:eastAsiaTheme="majorEastAsia" w:cstheme="majorBidi"/>
      <w:color w:val="272727" w:themeColor="text1" w:themeTint="D8"/>
    </w:rPr>
  </w:style>
  <w:style w:type="paragraph" w:styleId="Title">
    <w:name w:val="Title"/>
    <w:basedOn w:val="Normal"/>
    <w:next w:val="Normal"/>
    <w:link w:val="TitleChar"/>
    <w:uiPriority w:val="10"/>
    <w:qFormat/>
    <w:rsid w:val="00520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8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8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8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8AE"/>
    <w:pPr>
      <w:spacing w:before="160"/>
      <w:jc w:val="center"/>
    </w:pPr>
    <w:rPr>
      <w:i/>
      <w:iCs/>
      <w:color w:val="404040" w:themeColor="text1" w:themeTint="BF"/>
    </w:rPr>
  </w:style>
  <w:style w:type="character" w:customStyle="1" w:styleId="QuoteChar">
    <w:name w:val="Quote Char"/>
    <w:basedOn w:val="DefaultParagraphFont"/>
    <w:link w:val="Quote"/>
    <w:uiPriority w:val="29"/>
    <w:rsid w:val="005208AE"/>
    <w:rPr>
      <w:i/>
      <w:iCs/>
      <w:color w:val="404040" w:themeColor="text1" w:themeTint="BF"/>
    </w:rPr>
  </w:style>
  <w:style w:type="paragraph" w:styleId="ListParagraph">
    <w:name w:val="List Paragraph"/>
    <w:basedOn w:val="Normal"/>
    <w:uiPriority w:val="34"/>
    <w:qFormat/>
    <w:rsid w:val="005208AE"/>
    <w:pPr>
      <w:ind w:left="720"/>
      <w:contextualSpacing/>
    </w:pPr>
  </w:style>
  <w:style w:type="character" w:styleId="IntenseEmphasis">
    <w:name w:val="Intense Emphasis"/>
    <w:basedOn w:val="DefaultParagraphFont"/>
    <w:uiPriority w:val="21"/>
    <w:qFormat/>
    <w:rsid w:val="005208AE"/>
    <w:rPr>
      <w:i/>
      <w:iCs/>
      <w:color w:val="2F5496" w:themeColor="accent1" w:themeShade="BF"/>
    </w:rPr>
  </w:style>
  <w:style w:type="paragraph" w:styleId="IntenseQuote">
    <w:name w:val="Intense Quote"/>
    <w:basedOn w:val="Normal"/>
    <w:next w:val="Normal"/>
    <w:link w:val="IntenseQuoteChar"/>
    <w:uiPriority w:val="30"/>
    <w:qFormat/>
    <w:rsid w:val="005208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08AE"/>
    <w:rPr>
      <w:i/>
      <w:iCs/>
      <w:color w:val="2F5496" w:themeColor="accent1" w:themeShade="BF"/>
    </w:rPr>
  </w:style>
  <w:style w:type="character" w:styleId="IntenseReference">
    <w:name w:val="Intense Reference"/>
    <w:basedOn w:val="DefaultParagraphFont"/>
    <w:uiPriority w:val="32"/>
    <w:qFormat/>
    <w:rsid w:val="005208AE"/>
    <w:rPr>
      <w:b/>
      <w:bCs/>
      <w:smallCaps/>
      <w:color w:val="2F5496" w:themeColor="accent1" w:themeShade="BF"/>
      <w:spacing w:val="5"/>
    </w:rPr>
  </w:style>
  <w:style w:type="table" w:styleId="TableGrid">
    <w:name w:val="Table Grid"/>
    <w:basedOn w:val="TableNormal"/>
    <w:uiPriority w:val="39"/>
    <w:rsid w:val="00520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85d07d-eb45-4298-b4b0-fdcb830d46a5" xsi:nil="true"/>
    <lcf76f155ced4ddcb4097134ff3c332f xmlns="7525076e-669f-477c-9a3b-b6d9de71a65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1A754BF120BF489E599C3AADAED48C" ma:contentTypeVersion="18" ma:contentTypeDescription="Create a new document." ma:contentTypeScope="" ma:versionID="7c4d5ecb7e90ba69fdb564b6682cdb51">
  <xsd:schema xmlns:xsd="http://www.w3.org/2001/XMLSchema" xmlns:xs="http://www.w3.org/2001/XMLSchema" xmlns:p="http://schemas.microsoft.com/office/2006/metadata/properties" xmlns:ns2="7525076e-669f-477c-9a3b-b6d9de71a653" xmlns:ns3="bf85d07d-eb45-4298-b4b0-fdcb830d46a5" targetNamespace="http://schemas.microsoft.com/office/2006/metadata/properties" ma:root="true" ma:fieldsID="2ed17aa05cb7e2847b9728f9886a8851" ns2:_="" ns3:_="">
    <xsd:import namespace="7525076e-669f-477c-9a3b-b6d9de71a653"/>
    <xsd:import namespace="bf85d07d-eb45-4298-b4b0-fdcb830d4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076e-669f-477c-9a3b-b6d9de71a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f836f9-e1f7-45f2-bc20-ea7b35e8e1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85d07d-eb45-4298-b4b0-fdcb830d46a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914b37-43e6-419e-b9c3-6947bd6e4037}" ma:internalName="TaxCatchAll" ma:showField="CatchAllData" ma:web="bf85d07d-eb45-4298-b4b0-fdcb830d46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2B65F1-C4DB-4AC2-B8C7-CEC5FF203935}">
  <ds:schemaRefs>
    <ds:schemaRef ds:uri="http://schemas.microsoft.com/office/2006/metadata/properties"/>
    <ds:schemaRef ds:uri="http://schemas.microsoft.com/office/infopath/2007/PartnerControls"/>
    <ds:schemaRef ds:uri="bf85d07d-eb45-4298-b4b0-fdcb830d46a5"/>
    <ds:schemaRef ds:uri="7525076e-669f-477c-9a3b-b6d9de71a653"/>
  </ds:schemaRefs>
</ds:datastoreItem>
</file>

<file path=customXml/itemProps2.xml><?xml version="1.0" encoding="utf-8"?>
<ds:datastoreItem xmlns:ds="http://schemas.openxmlformats.org/officeDocument/2006/customXml" ds:itemID="{7A96C2AD-E7DB-481E-B473-6C5DF765A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076e-669f-477c-9a3b-b6d9de71a653"/>
    <ds:schemaRef ds:uri="bf85d07d-eb45-4298-b4b0-fdcb830d4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9A5BD8-0119-41CD-9D93-8DA79B7AA8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3979</Characters>
  <Application>Microsoft Office Word</Application>
  <DocSecurity>0</DocSecurity>
  <Lines>99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Razo</dc:creator>
  <cp:keywords/>
  <dc:description/>
  <cp:lastModifiedBy>Jamie Gephart</cp:lastModifiedBy>
  <cp:revision>2</cp:revision>
  <dcterms:created xsi:type="dcterms:W3CDTF">2024-10-07T19:36:00Z</dcterms:created>
  <dcterms:modified xsi:type="dcterms:W3CDTF">2024-10-07T19:36:00Z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0x010100481A754BF120BF489E599C3AADAED48C</vt:lpwstr>
  </property>
</Properties>
</file>